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6258" w14:textId="399D7D36" w:rsidR="00232FAC" w:rsidRDefault="00232FAC" w:rsidP="00670054">
      <w:pPr>
        <w:pStyle w:val="Style1"/>
        <w:rPr>
          <w:sz w:val="32"/>
          <w:szCs w:val="32"/>
          <w:lang w:val="fr-FR"/>
        </w:rPr>
      </w:pPr>
      <w:r w:rsidRPr="00232FAC">
        <w:rPr>
          <w:sz w:val="32"/>
          <w:szCs w:val="32"/>
          <w:lang w:val="fr-FR"/>
        </w:rPr>
        <w:t>APPELS À CONTRIBUTIONS</w:t>
      </w:r>
      <w:r>
        <w:rPr>
          <w:sz w:val="32"/>
          <w:szCs w:val="32"/>
          <w:lang w:val="fr-FR"/>
        </w:rPr>
        <w:t>:</w:t>
      </w:r>
    </w:p>
    <w:p w14:paraId="5801C192" w14:textId="735897C5" w:rsidR="000A7F0C" w:rsidRPr="00232FAC" w:rsidRDefault="00232FAC" w:rsidP="00670054">
      <w:pPr>
        <w:pStyle w:val="Style1"/>
        <w:rPr>
          <w:noProof w:val="0"/>
          <w:color w:val="000000"/>
          <w:sz w:val="32"/>
          <w:szCs w:val="32"/>
          <w:lang w:val="fr-FR" w:eastAsia="en-US"/>
        </w:rPr>
      </w:pPr>
      <w:r w:rsidRPr="00232FAC">
        <w:rPr>
          <w:sz w:val="32"/>
          <w:szCs w:val="32"/>
          <w:lang w:val="fr-FR"/>
        </w:rPr>
        <w:t>20e anniversaire des Directives sur le droit à l'alimentation - Appel à contributions sur la concrétisation du droit de l'homme à une alimentation adéquate</w:t>
      </w:r>
    </w:p>
    <w:p w14:paraId="68CBC4C3" w14:textId="48B9C01C" w:rsidR="000A7F0C" w:rsidRPr="00232FAC" w:rsidRDefault="000A7F0C" w:rsidP="00F37A93">
      <w:pPr>
        <w:pStyle w:val="PlainText"/>
        <w:rPr>
          <w:rFonts w:ascii="Cambria" w:eastAsia="Times New Roman" w:hAnsi="Cambria" w:cs="Arial"/>
          <w:b/>
          <w:bCs/>
          <w:noProof/>
          <w:color w:val="E36C0A" w:themeColor="accent6" w:themeShade="BF"/>
          <w:sz w:val="36"/>
          <w:szCs w:val="36"/>
          <w:lang w:val="fr-FR" w:eastAsia="zh-CN"/>
        </w:rPr>
      </w:pPr>
    </w:p>
    <w:p w14:paraId="77BF7D3E" w14:textId="77777777" w:rsidR="00CC2CD4" w:rsidRPr="00232FAC" w:rsidRDefault="00CC2CD4" w:rsidP="00213685">
      <w:pPr>
        <w:spacing w:after="0"/>
        <w:rPr>
          <w:rFonts w:asciiTheme="majorHAnsi" w:hAnsiTheme="majorHAnsi" w:cstheme="minorHAnsi"/>
          <w:sz w:val="23"/>
          <w:szCs w:val="23"/>
          <w:lang w:val="fr-FR"/>
        </w:rPr>
      </w:pPr>
    </w:p>
    <w:p w14:paraId="2E12A3CC" w14:textId="2048F930" w:rsidR="00232FAC" w:rsidRPr="00232FAC" w:rsidRDefault="001C2E9A" w:rsidP="00232FAC">
      <w:pPr>
        <w:rPr>
          <w:color w:val="0070C0"/>
          <w:sz w:val="23"/>
          <w:szCs w:val="23"/>
          <w:lang w:val="fr-FR"/>
        </w:rPr>
      </w:pPr>
      <w:r w:rsidRPr="00232FAC">
        <w:rPr>
          <w:rFonts w:asciiTheme="majorHAnsi" w:hAnsiTheme="majorHAnsi" w:cstheme="minorHAnsi"/>
          <w:noProof/>
          <w:sz w:val="23"/>
          <w:szCs w:val="23"/>
          <w:lang w:eastAsia="zh-CN"/>
        </w:rPr>
        <w:drawing>
          <wp:anchor distT="0" distB="0" distL="114300" distR="114300" simplePos="0" relativeHeight="251659264" behindDoc="0" locked="0" layoutInCell="1" allowOverlap="1" wp14:anchorId="314556D4" wp14:editId="03E9365A">
            <wp:simplePos x="0" y="0"/>
            <wp:positionH relativeFrom="margin">
              <wp:posOffset>4370705</wp:posOffset>
            </wp:positionH>
            <wp:positionV relativeFrom="paragraph">
              <wp:posOffset>8890</wp:posOffset>
            </wp:positionV>
            <wp:extent cx="1738630" cy="17386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_logo_EN.png"/>
                    <pic:cNvPicPr/>
                  </pic:nvPicPr>
                  <pic:blipFill>
                    <a:blip r:embed="rId8">
                      <a:extLst>
                        <a:ext uri="{28A0092B-C50C-407E-A947-70E740481C1C}">
                          <a14:useLocalDpi xmlns:a14="http://schemas.microsoft.com/office/drawing/2010/main" val="0"/>
                        </a:ext>
                      </a:extLst>
                    </a:blip>
                    <a:stretch>
                      <a:fillRect/>
                    </a:stretch>
                  </pic:blipFill>
                  <pic:spPr>
                    <a:xfrm>
                      <a:off x="0" y="0"/>
                      <a:ext cx="1738630" cy="1738630"/>
                    </a:xfrm>
                    <a:prstGeom prst="rect">
                      <a:avLst/>
                    </a:prstGeom>
                  </pic:spPr>
                </pic:pic>
              </a:graphicData>
            </a:graphic>
            <wp14:sizeRelH relativeFrom="margin">
              <wp14:pctWidth>0</wp14:pctWidth>
            </wp14:sizeRelH>
            <wp14:sizeRelV relativeFrom="margin">
              <wp14:pctHeight>0</wp14:pctHeight>
            </wp14:sizeRelV>
          </wp:anchor>
        </w:drawing>
      </w:r>
      <w:r w:rsidR="00232FAC" w:rsidRPr="00232FAC">
        <w:rPr>
          <w:sz w:val="23"/>
          <w:szCs w:val="23"/>
          <w:lang w:val="fr-FR"/>
        </w:rPr>
        <w:t xml:space="preserve">L'année 2024 est celle du 20e anniversaire de l'adoption des </w:t>
      </w:r>
      <w:hyperlink r:id="rId9" w:history="1">
        <w:r w:rsidR="00232FAC" w:rsidRPr="00232FAC">
          <w:rPr>
            <w:rStyle w:val="Hyperlink"/>
            <w:color w:val="4F81BD" w:themeColor="accent1"/>
            <w:sz w:val="23"/>
            <w:szCs w:val="23"/>
            <w:lang w:val="fr-FR"/>
          </w:rPr>
          <w:t>Directives volontaires à l'appui de la concrétisation progressive du droit à une alimentation adéquate dans le contexte de la sécurité alimentaire nationale</w:t>
        </w:r>
      </w:hyperlink>
      <w:r w:rsidR="00232FAC" w:rsidRPr="00232FAC">
        <w:rPr>
          <w:color w:val="0070C0"/>
          <w:sz w:val="23"/>
          <w:szCs w:val="23"/>
          <w:lang w:val="fr-FR"/>
        </w:rPr>
        <w:t>.</w:t>
      </w:r>
    </w:p>
    <w:p w14:paraId="31F2AE18" w14:textId="0B72E594" w:rsidR="001C2E9A" w:rsidRPr="00232FAC" w:rsidRDefault="00232FAC" w:rsidP="00232FAC">
      <w:pPr>
        <w:spacing w:before="120"/>
        <w:rPr>
          <w:sz w:val="23"/>
          <w:szCs w:val="23"/>
          <w:lang w:val="fr-FR"/>
        </w:rPr>
      </w:pPr>
      <w:r w:rsidRPr="00232FAC">
        <w:rPr>
          <w:sz w:val="23"/>
          <w:szCs w:val="23"/>
          <w:lang w:val="fr-FR"/>
        </w:rPr>
        <w:t xml:space="preserve">Le </w:t>
      </w:r>
      <w:r w:rsidRPr="00232FAC">
        <w:rPr>
          <w:b/>
          <w:sz w:val="23"/>
          <w:szCs w:val="23"/>
          <w:lang w:val="fr-FR"/>
        </w:rPr>
        <w:t>droit à l'alimentation</w:t>
      </w:r>
      <w:r w:rsidRPr="00232FAC">
        <w:rPr>
          <w:sz w:val="23"/>
          <w:szCs w:val="23"/>
          <w:lang w:val="fr-FR"/>
        </w:rPr>
        <w:t xml:space="preserve"> est un droit juridiquement contraignant, garanti par le Pacte internatio</w:t>
      </w:r>
      <w:bookmarkStart w:id="0" w:name="_GoBack"/>
      <w:bookmarkEnd w:id="0"/>
      <w:r w:rsidRPr="00232FAC">
        <w:rPr>
          <w:sz w:val="23"/>
          <w:szCs w:val="23"/>
          <w:lang w:val="fr-FR"/>
        </w:rPr>
        <w:t>nal relatif aux droits économiques, sociaux et culturels. Ce droit est réalisé lorsque toute personne a physiquement et économiquement accès à tout moment à une nourriture suffisante ou aux moyens de se la procurer, conformément à l'Observation générale n° 12 du Comité des droits économiques, sociaux et culturels (CDESC).</w:t>
      </w:r>
    </w:p>
    <w:p w14:paraId="51DE0C9F" w14:textId="77777777" w:rsidR="00232FAC" w:rsidRPr="00232FAC" w:rsidRDefault="00232FAC" w:rsidP="00232FAC">
      <w:pPr>
        <w:spacing w:before="120"/>
        <w:rPr>
          <w:sz w:val="23"/>
          <w:szCs w:val="23"/>
          <w:lang w:val="fr-FR"/>
        </w:rPr>
      </w:pPr>
    </w:p>
    <w:p w14:paraId="274E6AAB" w14:textId="77777777" w:rsidR="00232FAC" w:rsidRPr="00232FAC" w:rsidRDefault="00232FAC" w:rsidP="00232FAC">
      <w:pPr>
        <w:rPr>
          <w:sz w:val="23"/>
          <w:szCs w:val="23"/>
          <w:lang w:val="fr-FR"/>
        </w:rPr>
      </w:pPr>
      <w:r w:rsidRPr="00232FAC">
        <w:rPr>
          <w:sz w:val="23"/>
          <w:szCs w:val="23"/>
          <w:lang w:val="fr-FR"/>
        </w:rPr>
        <w:t xml:space="preserve">Les </w:t>
      </w:r>
      <w:r w:rsidRPr="00232FAC">
        <w:rPr>
          <w:b/>
          <w:sz w:val="23"/>
          <w:szCs w:val="23"/>
          <w:lang w:val="fr-FR"/>
        </w:rPr>
        <w:t>Directives sur le droit à l'alimentation</w:t>
      </w:r>
      <w:r w:rsidRPr="00232FAC">
        <w:rPr>
          <w:sz w:val="23"/>
          <w:szCs w:val="23"/>
          <w:lang w:val="fr-FR"/>
        </w:rPr>
        <w:t xml:space="preserve"> apportent des conseils pratiques aux États sur la manière de concrétiser le droit à une alimentation adéquate moyennant l'élaboration de stratégies, de programmes, de politiques et de législations. Celles-ci ont été approuvées par le Comité de la sécurité alimentaire mondiale (CSA) et adoptées par le Conseil de la FAO en novembre 2004, après deux années de négociations inter-gouvernementales et de participation multipartite. </w:t>
      </w:r>
    </w:p>
    <w:p w14:paraId="065EEB54" w14:textId="77777777" w:rsidR="00232FAC" w:rsidRPr="00232FAC" w:rsidRDefault="00232FAC" w:rsidP="00232FAC">
      <w:pPr>
        <w:rPr>
          <w:sz w:val="23"/>
          <w:szCs w:val="23"/>
          <w:lang w:val="fr-FR"/>
        </w:rPr>
      </w:pPr>
      <w:r w:rsidRPr="00232FAC">
        <w:rPr>
          <w:sz w:val="23"/>
          <w:szCs w:val="23"/>
          <w:lang w:val="fr-FR"/>
        </w:rPr>
        <w:t xml:space="preserve">Les gouvernements ont l'obligation juridique de garantir le droit à l'alimentation, dont chacun est en droit de jouir en tant que droit universel, sans aucune discrimination. En outre, tous les individus et collectifs, y compris les autorités gouvernementales, les législateurs, les communautés locales, les organisations non gouvernementales, les universitaires, les organisations de consommateurs, les groupes de jeunes, les peuples autochtones, les petits exploitants, les organisations de femmes, les organisations de la société civile ainsi que le secteur privé constituent des acteurs cruciaux dans la concrétisation du droit à une alimentation adéquate. </w:t>
      </w:r>
    </w:p>
    <w:p w14:paraId="0276BAC1" w14:textId="77777777" w:rsidR="00232FAC" w:rsidRPr="00232FAC" w:rsidRDefault="00232FAC" w:rsidP="00232FAC">
      <w:pPr>
        <w:rPr>
          <w:sz w:val="23"/>
          <w:szCs w:val="23"/>
          <w:lang w:val="fr-FR"/>
        </w:rPr>
      </w:pPr>
      <w:r w:rsidRPr="00232FAC">
        <w:rPr>
          <w:sz w:val="23"/>
          <w:szCs w:val="23"/>
          <w:lang w:val="fr-FR"/>
        </w:rPr>
        <w:t xml:space="preserve">Les Directives ont anticipé l'urgence des défis mondiaux les plus pressants à relever actuellement pour parvenir à un développement durable, notamment les conflits, les inégalités, les maladies, le </w:t>
      </w:r>
      <w:r w:rsidRPr="00232FAC">
        <w:rPr>
          <w:sz w:val="23"/>
          <w:szCs w:val="23"/>
          <w:lang w:val="fr-FR"/>
        </w:rPr>
        <w:lastRenderedPageBreak/>
        <w:t xml:space="preserve">changement climatique et la perte de la biodiversité. Dans un monde complexe où les défis ne cessent de se multiplier et d'évoluer, les lignes directrices restent plus que jamais d'actualité. Elles nous rappellent l'importance de la coopération et de la collaboration internationales au service du bien public collectif que constitue l'éradication de la faim, de la malnutrition sous toutes ses formes, de la pauvreté et de l'inégalité. Leur pleine mise en œuvre contribue aux efforts que nous déployons en faveur du </w:t>
      </w:r>
      <w:hyperlink r:id="rId10" w:history="1">
        <w:r w:rsidRPr="00232FAC">
          <w:rPr>
            <w:rStyle w:val="Hyperlink"/>
            <w:sz w:val="23"/>
            <w:szCs w:val="23"/>
            <w:lang w:val="fr-FR"/>
          </w:rPr>
          <w:t>Programme de développement durable à l'horizon 2030</w:t>
        </w:r>
      </w:hyperlink>
      <w:r w:rsidRPr="00232FAC">
        <w:rPr>
          <w:sz w:val="23"/>
          <w:szCs w:val="23"/>
          <w:lang w:val="fr-FR"/>
        </w:rPr>
        <w:t xml:space="preserve"> et de ses </w:t>
      </w:r>
      <w:hyperlink r:id="rId11" w:history="1">
        <w:r w:rsidRPr="00232FAC">
          <w:rPr>
            <w:rStyle w:val="Hyperlink"/>
            <w:sz w:val="23"/>
            <w:szCs w:val="23"/>
            <w:lang w:val="fr-FR"/>
          </w:rPr>
          <w:t>Objectifs de développement durable</w:t>
        </w:r>
      </w:hyperlink>
      <w:r w:rsidRPr="00232FAC">
        <w:rPr>
          <w:sz w:val="23"/>
          <w:szCs w:val="23"/>
          <w:lang w:val="fr-FR"/>
        </w:rPr>
        <w:t xml:space="preserve"> (ODD), eux-mêmes fondés sur les droits de l'homme. </w:t>
      </w:r>
    </w:p>
    <w:p w14:paraId="71D1C840" w14:textId="1FE72B4C" w:rsidR="001C2E9A" w:rsidRPr="00232FAC" w:rsidRDefault="00232FAC" w:rsidP="00232FAC">
      <w:pPr>
        <w:spacing w:before="120"/>
        <w:rPr>
          <w:sz w:val="23"/>
          <w:szCs w:val="23"/>
          <w:lang w:val="fr-FR"/>
        </w:rPr>
      </w:pPr>
      <w:r w:rsidRPr="00232FAC">
        <w:rPr>
          <w:sz w:val="23"/>
          <w:szCs w:val="23"/>
          <w:lang w:val="fr-FR"/>
        </w:rPr>
        <w:t>Les cinq dernières années ont été particulièrement difficiles en raison de la pandémie de COVID-19, de la gravité croissante de la faim et de la malnutrition sous toutes ses formes, du creusement des inégalités et de la crise du coût de la vie. Les gouvernements et d'autres acteurs ont mis en œuvre des réponses innovantes dans le monde entier. 20 ans plus tard, il est temps de faire le point sur les progrès accomplis et se pencher sur les principaux enseignements à tirer</w:t>
      </w:r>
      <w:r w:rsidRPr="00232FAC">
        <w:rPr>
          <w:bCs/>
          <w:sz w:val="23"/>
          <w:szCs w:val="23"/>
          <w:lang w:val="fr-FR"/>
        </w:rPr>
        <w:t>.</w:t>
      </w:r>
    </w:p>
    <w:p w14:paraId="00959C1C" w14:textId="77777777" w:rsidR="000502AF" w:rsidRPr="00232FAC" w:rsidRDefault="000502AF" w:rsidP="00C86D56">
      <w:pPr>
        <w:spacing w:before="120"/>
        <w:rPr>
          <w:sz w:val="23"/>
          <w:szCs w:val="23"/>
          <w:lang w:val="fr-FR"/>
        </w:rPr>
      </w:pPr>
    </w:p>
    <w:p w14:paraId="17FC2E99" w14:textId="0E027395" w:rsidR="001C2E9A" w:rsidRPr="00232FAC" w:rsidRDefault="00232FAC" w:rsidP="00C86D56">
      <w:pPr>
        <w:spacing w:before="120"/>
        <w:rPr>
          <w:b/>
          <w:i/>
          <w:color w:val="E36C0A" w:themeColor="accent6" w:themeShade="BF"/>
          <w:szCs w:val="24"/>
          <w:lang w:val="fr-FR"/>
        </w:rPr>
      </w:pPr>
      <w:r w:rsidRPr="00232FAC">
        <w:rPr>
          <w:b/>
          <w:i/>
          <w:color w:val="E36C0A" w:themeColor="accent6" w:themeShade="BF"/>
          <w:szCs w:val="24"/>
          <w:lang w:val="fr-FR"/>
        </w:rPr>
        <w:t>Exprimez-vous là où cela importe!</w:t>
      </w:r>
    </w:p>
    <w:p w14:paraId="0CE94AA5" w14:textId="77777777" w:rsidR="00232FAC" w:rsidRPr="00232FAC" w:rsidRDefault="00232FAC" w:rsidP="00232FAC">
      <w:pPr>
        <w:rPr>
          <w:sz w:val="23"/>
          <w:szCs w:val="23"/>
          <w:lang w:val="fr-FR"/>
        </w:rPr>
      </w:pPr>
      <w:r w:rsidRPr="00232FAC">
        <w:rPr>
          <w:sz w:val="23"/>
          <w:szCs w:val="23"/>
          <w:lang w:val="fr-FR"/>
        </w:rPr>
        <w:t xml:space="preserve">Dans la perspective du 20e anniversaire des Directives sur le droit à l'alimentation, les résultats de cet appel contribueront à documenter les efforts déployés pour concrétiser le droit à une alimentation adéquate au niveau local, national, régional ou mondial, tout en offrant aux pays et à leur population la possibilité de </w:t>
      </w:r>
      <w:r w:rsidRPr="00232FAC">
        <w:rPr>
          <w:bCs/>
          <w:sz w:val="23"/>
          <w:szCs w:val="23"/>
          <w:lang w:val="fr-FR"/>
        </w:rPr>
        <w:t>dresser un état des lieux en la matière.</w:t>
      </w:r>
    </w:p>
    <w:p w14:paraId="1569B14C" w14:textId="474D751C" w:rsidR="001C2E9A" w:rsidRDefault="00232FAC" w:rsidP="00232FAC">
      <w:pPr>
        <w:spacing w:before="120"/>
        <w:rPr>
          <w:sz w:val="23"/>
          <w:szCs w:val="23"/>
          <w:lang w:val="fr-FR"/>
        </w:rPr>
      </w:pPr>
      <w:r w:rsidRPr="00232FAC">
        <w:rPr>
          <w:sz w:val="23"/>
          <w:szCs w:val="23"/>
          <w:lang w:val="fr-FR"/>
        </w:rPr>
        <w:t>L'équipe de la FAO chargée du droit à l'alimentation et le Comité de la sécurité alimentaire mondiale (CSA) invitent les parties prenantes à</w:t>
      </w:r>
      <w:r w:rsidR="001C2E9A" w:rsidRPr="00232FAC">
        <w:rPr>
          <w:sz w:val="23"/>
          <w:szCs w:val="23"/>
          <w:lang w:val="fr-FR"/>
        </w:rPr>
        <w:t>:</w:t>
      </w:r>
    </w:p>
    <w:p w14:paraId="01928FF0" w14:textId="77777777" w:rsidR="00232FAC" w:rsidRPr="00232FAC" w:rsidRDefault="00232FAC" w:rsidP="00232FAC">
      <w:pPr>
        <w:spacing w:before="120"/>
        <w:rPr>
          <w:sz w:val="23"/>
          <w:szCs w:val="23"/>
          <w:lang w:val="fr-FR"/>
        </w:rPr>
      </w:pPr>
    </w:p>
    <w:tbl>
      <w:tblPr>
        <w:tblStyle w:val="TableGrid"/>
        <w:tblW w:w="0" w:type="auto"/>
        <w:shd w:val="clear" w:color="auto" w:fill="DAEEF3" w:themeFill="accent5" w:themeFillTint="33"/>
        <w:tblLook w:val="04A0" w:firstRow="1" w:lastRow="0" w:firstColumn="1" w:lastColumn="0" w:noHBand="0" w:noVBand="1"/>
      </w:tblPr>
      <w:tblGrid>
        <w:gridCol w:w="1129"/>
        <w:gridCol w:w="8500"/>
      </w:tblGrid>
      <w:tr w:rsidR="006A3772" w:rsidRPr="000760EF" w14:paraId="1614A01E" w14:textId="77777777" w:rsidTr="000502AF">
        <w:tc>
          <w:tcPr>
            <w:tcW w:w="1129" w:type="dxa"/>
            <w:shd w:val="clear" w:color="auto" w:fill="DAEEF3" w:themeFill="accent5" w:themeFillTint="33"/>
          </w:tcPr>
          <w:p w14:paraId="19619C6A" w14:textId="22C3E00B" w:rsidR="006A3772" w:rsidRPr="00F636E8" w:rsidRDefault="000502AF" w:rsidP="00C86D56">
            <w:pPr>
              <w:spacing w:before="120"/>
              <w:rPr>
                <w:sz w:val="23"/>
                <w:szCs w:val="23"/>
              </w:rPr>
            </w:pPr>
            <w:r w:rsidRPr="00F636E8">
              <w:rPr>
                <w:sz w:val="23"/>
                <w:szCs w:val="23"/>
              </w:rPr>
              <w:t>1.</w:t>
            </w:r>
          </w:p>
        </w:tc>
        <w:tc>
          <w:tcPr>
            <w:tcW w:w="8500" w:type="dxa"/>
            <w:shd w:val="clear" w:color="auto" w:fill="DAEEF3" w:themeFill="accent5" w:themeFillTint="33"/>
          </w:tcPr>
          <w:p w14:paraId="50BA4C79" w14:textId="45F56ED8" w:rsidR="006A3772" w:rsidRPr="00F636E8" w:rsidRDefault="00F636E8" w:rsidP="00C86D56">
            <w:pPr>
              <w:spacing w:before="120"/>
              <w:rPr>
                <w:b/>
                <w:bCs/>
                <w:i/>
                <w:iCs/>
                <w:sz w:val="23"/>
                <w:szCs w:val="23"/>
                <w:u w:val="single"/>
                <w:lang w:val="fr-FR"/>
              </w:rPr>
            </w:pPr>
            <w:r w:rsidRPr="00F636E8">
              <w:rPr>
                <w:sz w:val="23"/>
                <w:szCs w:val="23"/>
                <w:lang w:val="fr-FR"/>
              </w:rPr>
              <w:t xml:space="preserve">Partagez vos </w:t>
            </w:r>
            <w:r w:rsidRPr="00F636E8">
              <w:rPr>
                <w:b/>
                <w:bCs/>
                <w:sz w:val="23"/>
                <w:szCs w:val="23"/>
                <w:lang w:val="fr-FR"/>
              </w:rPr>
              <w:t>expériences</w:t>
            </w:r>
            <w:r w:rsidRPr="00F636E8">
              <w:rPr>
                <w:sz w:val="23"/>
                <w:szCs w:val="23"/>
                <w:lang w:val="fr-FR"/>
              </w:rPr>
              <w:t xml:space="preserve"> et vos </w:t>
            </w:r>
            <w:r w:rsidRPr="00F636E8">
              <w:rPr>
                <w:b/>
                <w:bCs/>
                <w:sz w:val="23"/>
                <w:szCs w:val="23"/>
                <w:lang w:val="fr-FR"/>
              </w:rPr>
              <w:t>bonnes pratiques</w:t>
            </w:r>
            <w:r w:rsidRPr="00F636E8">
              <w:rPr>
                <w:sz w:val="23"/>
                <w:szCs w:val="23"/>
                <w:lang w:val="fr-FR"/>
              </w:rPr>
              <w:t xml:space="preserve"> en termes de concrétisation du droit à l'alimentation pour tous, à tout moment</w:t>
            </w:r>
            <w:r w:rsidR="000502AF" w:rsidRPr="00F636E8">
              <w:rPr>
                <w:sz w:val="23"/>
                <w:szCs w:val="23"/>
                <w:lang w:val="fr-FR"/>
              </w:rPr>
              <w:t>.</w:t>
            </w:r>
          </w:p>
        </w:tc>
      </w:tr>
      <w:tr w:rsidR="006A3772" w:rsidRPr="000760EF" w14:paraId="76665917" w14:textId="77777777" w:rsidTr="000502AF">
        <w:tc>
          <w:tcPr>
            <w:tcW w:w="1129" w:type="dxa"/>
            <w:shd w:val="clear" w:color="auto" w:fill="DAEEF3" w:themeFill="accent5" w:themeFillTint="33"/>
          </w:tcPr>
          <w:p w14:paraId="304F506D" w14:textId="131A63B4" w:rsidR="006A3772" w:rsidRPr="00F636E8" w:rsidRDefault="000502AF" w:rsidP="00C86D56">
            <w:pPr>
              <w:spacing w:before="120"/>
              <w:rPr>
                <w:sz w:val="23"/>
                <w:szCs w:val="23"/>
              </w:rPr>
            </w:pPr>
            <w:r w:rsidRPr="00F636E8">
              <w:rPr>
                <w:sz w:val="23"/>
                <w:szCs w:val="23"/>
              </w:rPr>
              <w:t>2.</w:t>
            </w:r>
          </w:p>
        </w:tc>
        <w:tc>
          <w:tcPr>
            <w:tcW w:w="8500" w:type="dxa"/>
            <w:shd w:val="clear" w:color="auto" w:fill="DAEEF3" w:themeFill="accent5" w:themeFillTint="33"/>
          </w:tcPr>
          <w:p w14:paraId="6DCD41E8" w14:textId="675E12B5" w:rsidR="006A3772" w:rsidRPr="00F636E8" w:rsidRDefault="00F636E8" w:rsidP="00C86D56">
            <w:pPr>
              <w:spacing w:before="120"/>
              <w:rPr>
                <w:b/>
                <w:bCs/>
                <w:i/>
                <w:iCs/>
                <w:sz w:val="23"/>
                <w:szCs w:val="23"/>
                <w:u w:val="single"/>
                <w:lang w:val="fr-FR"/>
              </w:rPr>
            </w:pPr>
            <w:r w:rsidRPr="00F636E8">
              <w:rPr>
                <w:sz w:val="23"/>
                <w:szCs w:val="23"/>
                <w:lang w:val="fr-FR"/>
              </w:rPr>
              <w:t xml:space="preserve">Recenser les </w:t>
            </w:r>
            <w:r w:rsidRPr="00F636E8">
              <w:rPr>
                <w:b/>
                <w:bCs/>
                <w:sz w:val="23"/>
                <w:szCs w:val="23"/>
                <w:lang w:val="fr-FR"/>
              </w:rPr>
              <w:t>lacunes</w:t>
            </w:r>
            <w:r w:rsidRPr="00F636E8">
              <w:rPr>
                <w:sz w:val="23"/>
                <w:szCs w:val="23"/>
                <w:lang w:val="fr-FR"/>
              </w:rPr>
              <w:t xml:space="preserve">, les </w:t>
            </w:r>
            <w:r w:rsidRPr="00F636E8">
              <w:rPr>
                <w:b/>
                <w:bCs/>
                <w:sz w:val="23"/>
                <w:szCs w:val="23"/>
                <w:lang w:val="fr-FR"/>
              </w:rPr>
              <w:t>contraintes</w:t>
            </w:r>
            <w:r w:rsidRPr="00F636E8">
              <w:rPr>
                <w:sz w:val="23"/>
                <w:szCs w:val="23"/>
                <w:lang w:val="fr-FR"/>
              </w:rPr>
              <w:t xml:space="preserve"> et les </w:t>
            </w:r>
            <w:r w:rsidRPr="00F636E8">
              <w:rPr>
                <w:b/>
                <w:bCs/>
                <w:sz w:val="23"/>
                <w:szCs w:val="23"/>
                <w:lang w:val="fr-FR"/>
              </w:rPr>
              <w:t>difficultés</w:t>
            </w:r>
            <w:r w:rsidRPr="00F636E8">
              <w:rPr>
                <w:sz w:val="23"/>
                <w:szCs w:val="23"/>
                <w:lang w:val="fr-FR"/>
              </w:rPr>
              <w:t xml:space="preserve"> rencontrées dans la concrétisation du droit à l'alimentation ou dans la mise en œuvre des Directives sur le droit à l'alimentation</w:t>
            </w:r>
            <w:r w:rsidR="000502AF" w:rsidRPr="00F636E8">
              <w:rPr>
                <w:sz w:val="23"/>
                <w:szCs w:val="23"/>
                <w:lang w:val="fr-FR"/>
              </w:rPr>
              <w:t>.</w:t>
            </w:r>
          </w:p>
        </w:tc>
      </w:tr>
      <w:tr w:rsidR="006A3772" w:rsidRPr="000760EF" w14:paraId="48703613" w14:textId="77777777" w:rsidTr="000502AF">
        <w:tc>
          <w:tcPr>
            <w:tcW w:w="1129" w:type="dxa"/>
            <w:shd w:val="clear" w:color="auto" w:fill="DAEEF3" w:themeFill="accent5" w:themeFillTint="33"/>
          </w:tcPr>
          <w:p w14:paraId="4F74B247" w14:textId="7517D825" w:rsidR="006A3772" w:rsidRPr="00F636E8" w:rsidRDefault="000502AF" w:rsidP="00C86D56">
            <w:pPr>
              <w:spacing w:before="120"/>
              <w:rPr>
                <w:sz w:val="23"/>
                <w:szCs w:val="23"/>
              </w:rPr>
            </w:pPr>
            <w:r w:rsidRPr="00F636E8">
              <w:rPr>
                <w:sz w:val="23"/>
                <w:szCs w:val="23"/>
              </w:rPr>
              <w:t>3.</w:t>
            </w:r>
          </w:p>
        </w:tc>
        <w:tc>
          <w:tcPr>
            <w:tcW w:w="8500" w:type="dxa"/>
            <w:shd w:val="clear" w:color="auto" w:fill="DAEEF3" w:themeFill="accent5" w:themeFillTint="33"/>
          </w:tcPr>
          <w:p w14:paraId="4AE82F6D" w14:textId="2F5AD882" w:rsidR="006A3772" w:rsidRPr="00F636E8" w:rsidRDefault="00F636E8" w:rsidP="00C86D56">
            <w:pPr>
              <w:spacing w:before="120"/>
              <w:rPr>
                <w:b/>
                <w:bCs/>
                <w:i/>
                <w:iCs/>
                <w:sz w:val="23"/>
                <w:szCs w:val="23"/>
                <w:u w:val="single"/>
                <w:lang w:val="fr-FR"/>
              </w:rPr>
            </w:pPr>
            <w:r w:rsidRPr="00F636E8">
              <w:rPr>
                <w:sz w:val="23"/>
                <w:szCs w:val="23"/>
                <w:lang w:val="fr-FR"/>
              </w:rPr>
              <w:t xml:space="preserve">Mettre en commun les </w:t>
            </w:r>
            <w:r w:rsidRPr="00F636E8">
              <w:rPr>
                <w:b/>
                <w:bCs/>
                <w:sz w:val="23"/>
                <w:szCs w:val="23"/>
                <w:lang w:val="fr-FR"/>
              </w:rPr>
              <w:t>enseignements tirés</w:t>
            </w:r>
            <w:r w:rsidRPr="00F636E8">
              <w:rPr>
                <w:sz w:val="23"/>
                <w:szCs w:val="23"/>
                <w:lang w:val="fr-FR"/>
              </w:rPr>
              <w:t xml:space="preserve"> et </w:t>
            </w:r>
            <w:r w:rsidRPr="00F636E8">
              <w:rPr>
                <w:b/>
                <w:bCs/>
                <w:sz w:val="23"/>
                <w:szCs w:val="23"/>
                <w:lang w:val="fr-FR"/>
              </w:rPr>
              <w:t>suggérer des recommandations</w:t>
            </w:r>
            <w:r w:rsidRPr="00F636E8">
              <w:rPr>
                <w:sz w:val="23"/>
                <w:szCs w:val="23"/>
                <w:lang w:val="fr-FR"/>
              </w:rPr>
              <w:t xml:space="preserve"> en vue d'améliorer la concrétisation du droit à une alimentation adéquate</w:t>
            </w:r>
            <w:r w:rsidR="000502AF" w:rsidRPr="00F636E8">
              <w:rPr>
                <w:sz w:val="23"/>
                <w:szCs w:val="23"/>
                <w:lang w:val="fr-FR"/>
              </w:rPr>
              <w:t>.</w:t>
            </w:r>
          </w:p>
        </w:tc>
      </w:tr>
      <w:tr w:rsidR="006A3772" w:rsidRPr="000760EF" w14:paraId="56665655" w14:textId="77777777" w:rsidTr="000502AF">
        <w:tc>
          <w:tcPr>
            <w:tcW w:w="1129" w:type="dxa"/>
            <w:shd w:val="clear" w:color="auto" w:fill="DAEEF3" w:themeFill="accent5" w:themeFillTint="33"/>
          </w:tcPr>
          <w:p w14:paraId="13D749B3" w14:textId="40BD2114" w:rsidR="006A3772" w:rsidRPr="00F636E8" w:rsidRDefault="000502AF" w:rsidP="00C86D56">
            <w:pPr>
              <w:spacing w:before="120"/>
              <w:rPr>
                <w:sz w:val="23"/>
                <w:szCs w:val="23"/>
              </w:rPr>
            </w:pPr>
            <w:r w:rsidRPr="00F636E8">
              <w:rPr>
                <w:sz w:val="23"/>
                <w:szCs w:val="23"/>
              </w:rPr>
              <w:t>4.</w:t>
            </w:r>
          </w:p>
        </w:tc>
        <w:tc>
          <w:tcPr>
            <w:tcW w:w="8500" w:type="dxa"/>
            <w:shd w:val="clear" w:color="auto" w:fill="DAEEF3" w:themeFill="accent5" w:themeFillTint="33"/>
          </w:tcPr>
          <w:p w14:paraId="453326DA" w14:textId="0632A0E9" w:rsidR="006A3772" w:rsidRPr="00F636E8" w:rsidRDefault="00F636E8" w:rsidP="00C86D56">
            <w:pPr>
              <w:spacing w:before="120"/>
              <w:rPr>
                <w:b/>
                <w:bCs/>
                <w:i/>
                <w:iCs/>
                <w:sz w:val="23"/>
                <w:szCs w:val="23"/>
                <w:u w:val="single"/>
                <w:lang w:val="fr-FR"/>
              </w:rPr>
            </w:pPr>
            <w:r w:rsidRPr="00F636E8">
              <w:rPr>
                <w:sz w:val="23"/>
                <w:szCs w:val="23"/>
                <w:lang w:val="fr-FR"/>
              </w:rPr>
              <w:t xml:space="preserve">Prochaines étapes : y </w:t>
            </w:r>
            <w:proofErr w:type="spellStart"/>
            <w:r w:rsidRPr="00F636E8">
              <w:rPr>
                <w:sz w:val="23"/>
                <w:szCs w:val="23"/>
                <w:lang w:val="fr-FR"/>
              </w:rPr>
              <w:t>a-t-il</w:t>
            </w:r>
            <w:proofErr w:type="spellEnd"/>
            <w:r w:rsidRPr="00F636E8">
              <w:rPr>
                <w:sz w:val="23"/>
                <w:szCs w:val="23"/>
                <w:lang w:val="fr-FR"/>
              </w:rPr>
              <w:t xml:space="preserve"> des </w:t>
            </w:r>
            <w:r w:rsidRPr="00F636E8">
              <w:rPr>
                <w:b/>
                <w:bCs/>
                <w:sz w:val="23"/>
                <w:szCs w:val="23"/>
                <w:lang w:val="fr-FR"/>
              </w:rPr>
              <w:t>projets concrets</w:t>
            </w:r>
            <w:r w:rsidRPr="00F636E8">
              <w:rPr>
                <w:sz w:val="23"/>
                <w:szCs w:val="23"/>
                <w:lang w:val="fr-FR"/>
              </w:rPr>
              <w:t xml:space="preserve"> pour continuer à utiliser et à appliquer les Directives sur le droit à l'alimentation?</w:t>
            </w:r>
          </w:p>
        </w:tc>
      </w:tr>
    </w:tbl>
    <w:p w14:paraId="38A2C9A3" w14:textId="77777777" w:rsidR="006A3772" w:rsidRPr="00F636E8" w:rsidRDefault="006A3772" w:rsidP="00C86D56">
      <w:pPr>
        <w:spacing w:before="120"/>
        <w:rPr>
          <w:b/>
          <w:bCs/>
          <w:i/>
          <w:iCs/>
          <w:sz w:val="23"/>
          <w:szCs w:val="23"/>
          <w:u w:val="single"/>
          <w:lang w:val="fr-FR"/>
        </w:rPr>
      </w:pPr>
    </w:p>
    <w:p w14:paraId="540B40AF" w14:textId="77777777" w:rsidR="00232FAC" w:rsidRPr="00232FAC" w:rsidRDefault="00232FAC" w:rsidP="00232FAC">
      <w:pPr>
        <w:rPr>
          <w:b/>
          <w:bCs/>
          <w:sz w:val="23"/>
          <w:szCs w:val="23"/>
          <w:lang w:val="fr-FR"/>
        </w:rPr>
      </w:pPr>
      <w:r w:rsidRPr="00232FAC">
        <w:rPr>
          <w:b/>
          <w:sz w:val="23"/>
          <w:szCs w:val="23"/>
          <w:lang w:val="fr-FR"/>
        </w:rPr>
        <w:t>Comment participer à cet appel à contributions</w:t>
      </w:r>
    </w:p>
    <w:p w14:paraId="52F4DAF2" w14:textId="77777777" w:rsidR="000760EF" w:rsidRDefault="00232FAC" w:rsidP="00232FAC">
      <w:pPr>
        <w:rPr>
          <w:sz w:val="23"/>
          <w:szCs w:val="23"/>
          <w:lang w:val="fr-FR"/>
        </w:rPr>
      </w:pPr>
      <w:r w:rsidRPr="00232FAC">
        <w:rPr>
          <w:sz w:val="23"/>
          <w:szCs w:val="23"/>
          <w:lang w:val="fr-FR"/>
        </w:rPr>
        <w:t xml:space="preserve">Veuillez nous faire part de votre (vos) expérience(s) en utilisant le formulaire suivant: </w:t>
      </w:r>
    </w:p>
    <w:p w14:paraId="4EBD5789" w14:textId="44357775" w:rsidR="00232FAC" w:rsidRPr="00232FAC" w:rsidRDefault="000760EF" w:rsidP="00232FAC">
      <w:pPr>
        <w:rPr>
          <w:b/>
          <w:bCs/>
          <w:sz w:val="23"/>
          <w:szCs w:val="23"/>
          <w:lang w:val="fr-FR"/>
        </w:rPr>
      </w:pPr>
      <w:hyperlink r:id="rId12" w:history="1">
        <w:r w:rsidR="00232FAC" w:rsidRPr="000760EF">
          <w:rPr>
            <w:rStyle w:val="Hyperlink"/>
            <w:b/>
            <w:sz w:val="23"/>
            <w:szCs w:val="23"/>
            <w:lang w:val="fr-FR"/>
          </w:rPr>
          <w:t>Lien vers le formulaire</w:t>
        </w:r>
      </w:hyperlink>
    </w:p>
    <w:p w14:paraId="50D3F411" w14:textId="77777777" w:rsidR="00232FAC" w:rsidRPr="00232FAC" w:rsidRDefault="00232FAC" w:rsidP="00232FAC">
      <w:pPr>
        <w:rPr>
          <w:sz w:val="23"/>
          <w:szCs w:val="23"/>
          <w:lang w:val="fr-FR"/>
        </w:rPr>
      </w:pPr>
      <w:r w:rsidRPr="00232FAC">
        <w:rPr>
          <w:sz w:val="23"/>
          <w:szCs w:val="23"/>
          <w:lang w:val="fr-FR"/>
        </w:rPr>
        <w:t xml:space="preserve">Les contributions peuvent être présentées dans l'une des six langues de l'ONU (anglais, arabe, chinois, espagnol, français et russe). Veuillez limiter la longueur des contributions à 1 000 mots. </w:t>
      </w:r>
      <w:r w:rsidRPr="00232FAC">
        <w:rPr>
          <w:bCs/>
          <w:sz w:val="23"/>
          <w:szCs w:val="23"/>
          <w:lang w:val="fr-FR"/>
        </w:rPr>
        <w:t>U</w:t>
      </w:r>
      <w:r w:rsidRPr="00232FAC">
        <w:rPr>
          <w:sz w:val="23"/>
          <w:szCs w:val="23"/>
          <w:lang w:val="fr-FR"/>
        </w:rPr>
        <w:t xml:space="preserve">ne fois rempli, vous pouvez télécharger le formulaire ici ou l'envoyer à </w:t>
      </w:r>
      <w:hyperlink r:id="rId13" w:history="1">
        <w:r w:rsidRPr="00232FAC">
          <w:rPr>
            <w:rStyle w:val="Hyperlink"/>
            <w:sz w:val="23"/>
            <w:szCs w:val="23"/>
            <w:lang w:val="fr-FR"/>
          </w:rPr>
          <w:t>fsn-moderator@fao.org</w:t>
        </w:r>
      </w:hyperlink>
      <w:r w:rsidRPr="00232FAC">
        <w:rPr>
          <w:sz w:val="23"/>
          <w:szCs w:val="23"/>
          <w:lang w:val="fr-FR"/>
        </w:rPr>
        <w:t xml:space="preserve">. </w:t>
      </w:r>
    </w:p>
    <w:p w14:paraId="166E833A" w14:textId="1CF73DD1" w:rsidR="001C2E9A" w:rsidRPr="00232FAC" w:rsidRDefault="001C2E9A" w:rsidP="001C2E9A">
      <w:pPr>
        <w:rPr>
          <w:sz w:val="23"/>
          <w:szCs w:val="23"/>
          <w:lang w:val="fr-FR"/>
        </w:rPr>
      </w:pPr>
      <w:r w:rsidRPr="00232FAC">
        <w:rPr>
          <w:sz w:val="23"/>
          <w:szCs w:val="23"/>
          <w:lang w:val="fr-FR"/>
        </w:rPr>
        <w:t xml:space="preserve"> </w:t>
      </w:r>
    </w:p>
    <w:p w14:paraId="1020F130" w14:textId="6CE6208B" w:rsidR="001C2E9A" w:rsidRPr="00232FAC" w:rsidRDefault="00232FAC" w:rsidP="001C2E9A">
      <w:pPr>
        <w:rPr>
          <w:color w:val="E36C0A" w:themeColor="accent6" w:themeShade="BF"/>
          <w:sz w:val="23"/>
          <w:szCs w:val="23"/>
          <w:lang w:val="fr-FR"/>
        </w:rPr>
      </w:pPr>
      <w:r w:rsidRPr="00232FAC">
        <w:rPr>
          <w:b/>
          <w:bCs/>
          <w:color w:val="E36C0A" w:themeColor="accent6" w:themeShade="BF"/>
          <w:sz w:val="23"/>
          <w:szCs w:val="23"/>
          <w:lang w:val="fr-FR"/>
        </w:rPr>
        <w:t>L'appel à cont</w:t>
      </w:r>
      <w:r>
        <w:rPr>
          <w:b/>
          <w:bCs/>
          <w:color w:val="E36C0A" w:themeColor="accent6" w:themeShade="BF"/>
          <w:sz w:val="23"/>
          <w:szCs w:val="23"/>
          <w:lang w:val="fr-FR"/>
        </w:rPr>
        <w:t>ributions est ouvert jusqu'au 23</w:t>
      </w:r>
      <w:r w:rsidRPr="00232FAC">
        <w:rPr>
          <w:b/>
          <w:bCs/>
          <w:color w:val="E36C0A" w:themeColor="accent6" w:themeShade="BF"/>
          <w:sz w:val="23"/>
          <w:szCs w:val="23"/>
          <w:lang w:val="fr-FR"/>
        </w:rPr>
        <w:t xml:space="preserve"> juin 2023.</w:t>
      </w:r>
    </w:p>
    <w:p w14:paraId="6BDE8760" w14:textId="77777777" w:rsidR="00C86D56" w:rsidRPr="00232FAC" w:rsidRDefault="00C86D56" w:rsidP="001C2E9A">
      <w:pPr>
        <w:rPr>
          <w:sz w:val="23"/>
          <w:szCs w:val="23"/>
          <w:lang w:val="fr-FR"/>
        </w:rPr>
      </w:pPr>
    </w:p>
    <w:p w14:paraId="276F739E" w14:textId="77777777" w:rsidR="00B16BF2" w:rsidRPr="00B16BF2" w:rsidRDefault="00B16BF2" w:rsidP="00B16BF2">
      <w:pPr>
        <w:rPr>
          <w:sz w:val="23"/>
          <w:szCs w:val="23"/>
          <w:lang w:val="fr-FR"/>
        </w:rPr>
      </w:pPr>
      <w:r w:rsidRPr="00B16BF2">
        <w:rPr>
          <w:sz w:val="23"/>
          <w:szCs w:val="23"/>
          <w:lang w:val="fr-FR"/>
        </w:rPr>
        <w:t>Nous vous tenons à vous remercier pour vos précieuses contributions et nous nous réjouissons de pouvoir tirer parti de vos expériences.</w:t>
      </w:r>
    </w:p>
    <w:p w14:paraId="79B330A3" w14:textId="77777777" w:rsidR="00B16BF2" w:rsidRPr="00B16BF2" w:rsidRDefault="00B16BF2" w:rsidP="00B16BF2">
      <w:pPr>
        <w:rPr>
          <w:sz w:val="23"/>
          <w:szCs w:val="23"/>
          <w:lang w:val="fr-FR"/>
        </w:rPr>
      </w:pPr>
    </w:p>
    <w:p w14:paraId="6A5DDEEA" w14:textId="77777777" w:rsidR="00B16BF2" w:rsidRPr="00B16BF2" w:rsidRDefault="00B16BF2" w:rsidP="00B16BF2">
      <w:pPr>
        <w:rPr>
          <w:b/>
          <w:bCs/>
          <w:i/>
          <w:iCs/>
          <w:sz w:val="23"/>
          <w:szCs w:val="23"/>
          <w:lang w:val="en-GB"/>
        </w:rPr>
      </w:pPr>
      <w:r w:rsidRPr="00B16BF2">
        <w:rPr>
          <w:b/>
          <w:i/>
          <w:iCs/>
          <w:sz w:val="23"/>
          <w:szCs w:val="23"/>
          <w:lang w:val="fr-FR"/>
        </w:rPr>
        <w:t>Co-facilitateurs :</w:t>
      </w:r>
      <w:r w:rsidRPr="00B16BF2">
        <w:rPr>
          <w:b/>
          <w:bCs/>
          <w:i/>
          <w:iCs/>
          <w:sz w:val="23"/>
          <w:szCs w:val="23"/>
          <w:lang w:val="en-GB"/>
        </w:rPr>
        <w:t xml:space="preserve"> </w:t>
      </w:r>
    </w:p>
    <w:p w14:paraId="2E3DA108" w14:textId="77777777" w:rsidR="00B16BF2" w:rsidRPr="00B16BF2" w:rsidRDefault="00B16BF2" w:rsidP="00B16BF2">
      <w:pPr>
        <w:pStyle w:val="ListParagraph"/>
        <w:numPr>
          <w:ilvl w:val="0"/>
          <w:numId w:val="39"/>
        </w:numPr>
        <w:contextualSpacing/>
        <w:rPr>
          <w:i/>
          <w:iCs/>
          <w:sz w:val="23"/>
          <w:szCs w:val="23"/>
          <w:lang w:val="fr-FR"/>
        </w:rPr>
      </w:pPr>
      <w:proofErr w:type="spellStart"/>
      <w:r w:rsidRPr="00B16BF2">
        <w:rPr>
          <w:i/>
          <w:iCs/>
          <w:sz w:val="23"/>
          <w:szCs w:val="23"/>
          <w:lang w:val="fr-FR"/>
        </w:rPr>
        <w:t>Marie-Lara</w:t>
      </w:r>
      <w:proofErr w:type="spellEnd"/>
      <w:r w:rsidRPr="00B16BF2">
        <w:rPr>
          <w:i/>
          <w:iCs/>
          <w:sz w:val="23"/>
          <w:szCs w:val="23"/>
          <w:lang w:val="fr-FR"/>
        </w:rPr>
        <w:t xml:space="preserve"> </w:t>
      </w:r>
      <w:proofErr w:type="spellStart"/>
      <w:r w:rsidRPr="00B16BF2">
        <w:rPr>
          <w:i/>
          <w:iCs/>
          <w:sz w:val="23"/>
          <w:szCs w:val="23"/>
          <w:lang w:val="fr-FR"/>
        </w:rPr>
        <w:t>Hubert-Chartier</w:t>
      </w:r>
      <w:proofErr w:type="spellEnd"/>
      <w:r w:rsidRPr="00B16BF2">
        <w:rPr>
          <w:i/>
          <w:iCs/>
          <w:sz w:val="23"/>
          <w:szCs w:val="23"/>
          <w:lang w:val="fr-FR"/>
        </w:rPr>
        <w:t>, spécialiste du droit à l’alimentation</w:t>
      </w:r>
    </w:p>
    <w:p w14:paraId="0D578A93" w14:textId="77777777" w:rsidR="00B16BF2" w:rsidRPr="00B16BF2" w:rsidRDefault="00B16BF2" w:rsidP="00B16BF2">
      <w:pPr>
        <w:pStyle w:val="ListParagraph"/>
        <w:numPr>
          <w:ilvl w:val="0"/>
          <w:numId w:val="39"/>
        </w:numPr>
        <w:contextualSpacing/>
        <w:rPr>
          <w:i/>
          <w:iCs/>
          <w:sz w:val="23"/>
          <w:szCs w:val="23"/>
          <w:lang w:val="fr-FR"/>
        </w:rPr>
      </w:pPr>
      <w:r w:rsidRPr="00B16BF2">
        <w:rPr>
          <w:i/>
          <w:iCs/>
          <w:sz w:val="23"/>
          <w:szCs w:val="23"/>
          <w:lang w:val="fr-FR"/>
        </w:rPr>
        <w:t>Claire Mason, Conseillère en droit à l’alimentation</w:t>
      </w:r>
    </w:p>
    <w:p w14:paraId="726BD4A2" w14:textId="77777777" w:rsidR="00B16BF2" w:rsidRPr="00B16BF2" w:rsidRDefault="00B16BF2" w:rsidP="00B16BF2">
      <w:pPr>
        <w:pStyle w:val="ListParagraph"/>
        <w:numPr>
          <w:ilvl w:val="0"/>
          <w:numId w:val="39"/>
        </w:numPr>
        <w:contextualSpacing/>
        <w:rPr>
          <w:i/>
          <w:iCs/>
          <w:sz w:val="23"/>
          <w:szCs w:val="23"/>
          <w:lang w:val="en-GB"/>
        </w:rPr>
      </w:pPr>
      <w:r w:rsidRPr="00B16BF2">
        <w:rPr>
          <w:i/>
          <w:iCs/>
          <w:sz w:val="23"/>
          <w:szCs w:val="23"/>
          <w:lang w:val="fr-FR"/>
        </w:rPr>
        <w:t>Sarah Brand, fonctionnaire professionnelle associée</w:t>
      </w:r>
    </w:p>
    <w:p w14:paraId="5B0C0B89" w14:textId="638B5228" w:rsidR="00414098" w:rsidRPr="00B16BF2" w:rsidRDefault="00414098" w:rsidP="00B16BF2">
      <w:pPr>
        <w:pStyle w:val="ListParagraph"/>
        <w:numPr>
          <w:ilvl w:val="0"/>
          <w:numId w:val="39"/>
        </w:numPr>
        <w:contextualSpacing/>
        <w:rPr>
          <w:i/>
          <w:iCs/>
          <w:sz w:val="23"/>
          <w:szCs w:val="23"/>
          <w:lang w:val="fr-FR"/>
        </w:rPr>
      </w:pPr>
      <w:r w:rsidRPr="00B16BF2">
        <w:rPr>
          <w:i/>
          <w:iCs/>
          <w:sz w:val="23"/>
          <w:szCs w:val="23"/>
          <w:lang w:val="fr-FR"/>
        </w:rPr>
        <w:t xml:space="preserve">Chiara </w:t>
      </w:r>
      <w:proofErr w:type="spellStart"/>
      <w:r w:rsidRPr="00B16BF2">
        <w:rPr>
          <w:i/>
          <w:iCs/>
          <w:sz w:val="23"/>
          <w:szCs w:val="23"/>
          <w:lang w:val="fr-FR"/>
        </w:rPr>
        <w:t>Cirulli</w:t>
      </w:r>
      <w:proofErr w:type="spellEnd"/>
      <w:r w:rsidRPr="00B16BF2">
        <w:rPr>
          <w:i/>
          <w:iCs/>
          <w:sz w:val="23"/>
          <w:szCs w:val="23"/>
          <w:lang w:val="fr-FR"/>
        </w:rPr>
        <w:t>, </w:t>
      </w:r>
      <w:r w:rsidR="00B16BF2" w:rsidRPr="00B16BF2">
        <w:rPr>
          <w:i/>
          <w:iCs/>
          <w:sz w:val="23"/>
          <w:szCs w:val="23"/>
          <w:lang w:val="fr-FR"/>
        </w:rPr>
        <w:t>le Secrétariat du CSA</w:t>
      </w:r>
    </w:p>
    <w:p w14:paraId="1340F6E5" w14:textId="77777777" w:rsidR="00B16BF2" w:rsidRPr="00B16BF2" w:rsidRDefault="00B16BF2" w:rsidP="00B16BF2">
      <w:pPr>
        <w:spacing w:before="120"/>
        <w:rPr>
          <w:b/>
          <w:sz w:val="23"/>
          <w:szCs w:val="23"/>
          <w:lang w:val="fr-FR"/>
        </w:rPr>
      </w:pPr>
    </w:p>
    <w:p w14:paraId="17B9482D" w14:textId="7A727009" w:rsidR="00B16BF2" w:rsidRPr="00B16BF2" w:rsidRDefault="00B16BF2" w:rsidP="00B16BF2">
      <w:pPr>
        <w:spacing w:before="120"/>
        <w:rPr>
          <w:b/>
          <w:sz w:val="23"/>
          <w:szCs w:val="23"/>
          <w:lang w:val="en-GB"/>
        </w:rPr>
      </w:pPr>
      <w:r w:rsidRPr="00B16BF2">
        <w:rPr>
          <w:b/>
          <w:sz w:val="23"/>
          <w:szCs w:val="23"/>
          <w:lang w:val="fr-FR"/>
        </w:rPr>
        <w:t>Références</w:t>
      </w:r>
    </w:p>
    <w:p w14:paraId="3A12B553" w14:textId="77777777" w:rsidR="00B16BF2" w:rsidRPr="00B16BF2" w:rsidRDefault="00B16BF2" w:rsidP="00B16BF2">
      <w:pPr>
        <w:pStyle w:val="ListParagraph"/>
        <w:numPr>
          <w:ilvl w:val="0"/>
          <w:numId w:val="40"/>
        </w:numPr>
        <w:spacing w:before="120" w:after="120"/>
        <w:contextualSpacing/>
        <w:rPr>
          <w:rFonts w:eastAsia="Calibri" w:cs="Calibri"/>
          <w:color w:val="000000" w:themeColor="text1"/>
          <w:sz w:val="23"/>
          <w:szCs w:val="23"/>
          <w:lang w:val="fr-FR"/>
        </w:rPr>
      </w:pPr>
      <w:r w:rsidRPr="00B16BF2">
        <w:rPr>
          <w:sz w:val="23"/>
          <w:szCs w:val="23"/>
          <w:lang w:val="fr-FR"/>
        </w:rPr>
        <w:t xml:space="preserve">Les </w:t>
      </w:r>
      <w:hyperlink r:id="rId14" w:history="1">
        <w:r w:rsidRPr="00B16BF2">
          <w:rPr>
            <w:rStyle w:val="Hyperlink"/>
            <w:sz w:val="23"/>
            <w:szCs w:val="23"/>
            <w:lang w:val="fr-FR"/>
          </w:rPr>
          <w:t>Directives sur le droit à l’alimentation</w:t>
        </w:r>
      </w:hyperlink>
    </w:p>
    <w:p w14:paraId="7AC2F5DC" w14:textId="77777777" w:rsidR="00B16BF2" w:rsidRPr="00B16BF2" w:rsidRDefault="00B16BF2" w:rsidP="00B16BF2">
      <w:pPr>
        <w:pStyle w:val="ListParagraph"/>
        <w:numPr>
          <w:ilvl w:val="0"/>
          <w:numId w:val="40"/>
        </w:numPr>
        <w:spacing w:before="120" w:after="120"/>
        <w:contextualSpacing/>
        <w:rPr>
          <w:rFonts w:eastAsia="Calibri" w:cs="Calibri"/>
          <w:color w:val="000000" w:themeColor="text1"/>
          <w:sz w:val="23"/>
          <w:szCs w:val="23"/>
          <w:lang w:val="fr-FR"/>
        </w:rPr>
      </w:pPr>
      <w:r w:rsidRPr="00B16BF2">
        <w:rPr>
          <w:sz w:val="23"/>
          <w:szCs w:val="23"/>
          <w:lang w:val="fr-FR"/>
        </w:rPr>
        <w:t xml:space="preserve">Les </w:t>
      </w:r>
      <w:hyperlink r:id="rId15" w:history="1">
        <w:r w:rsidRPr="00B16BF2">
          <w:rPr>
            <w:rStyle w:val="Hyperlink"/>
            <w:sz w:val="23"/>
            <w:szCs w:val="23"/>
            <w:lang w:val="fr-FR"/>
          </w:rPr>
          <w:t>Directives sur le droit à l’alimentation: quinze années de mise en œuvre</w:t>
        </w:r>
      </w:hyperlink>
    </w:p>
    <w:p w14:paraId="245EE86B" w14:textId="77777777" w:rsidR="00B16BF2" w:rsidRPr="00B16BF2" w:rsidRDefault="00CA0CE2" w:rsidP="00B16BF2">
      <w:pPr>
        <w:pStyle w:val="ListParagraph"/>
        <w:numPr>
          <w:ilvl w:val="0"/>
          <w:numId w:val="40"/>
        </w:numPr>
        <w:spacing w:before="120" w:after="120"/>
        <w:contextualSpacing/>
        <w:rPr>
          <w:rFonts w:eastAsia="Calibri" w:cs="Calibri"/>
          <w:color w:val="000000" w:themeColor="text1"/>
          <w:sz w:val="23"/>
          <w:szCs w:val="23"/>
          <w:lang w:val="fr-FR"/>
        </w:rPr>
      </w:pPr>
      <w:hyperlink r:id="rId16" w:history="1">
        <w:r w:rsidR="00B16BF2" w:rsidRPr="00B16BF2">
          <w:rPr>
            <w:rStyle w:val="Hyperlink"/>
            <w:sz w:val="23"/>
            <w:szCs w:val="23"/>
            <w:lang w:val="fr-FR"/>
          </w:rPr>
          <w:t>Manuel pratique sur le droit à l’alimentation</w:t>
        </w:r>
      </w:hyperlink>
    </w:p>
    <w:p w14:paraId="68070F22" w14:textId="77777777" w:rsidR="00B16BF2" w:rsidRPr="00B16BF2" w:rsidRDefault="00CA0CE2" w:rsidP="00B16BF2">
      <w:pPr>
        <w:pStyle w:val="ListParagraph"/>
        <w:numPr>
          <w:ilvl w:val="0"/>
          <w:numId w:val="40"/>
        </w:numPr>
        <w:spacing w:before="120" w:after="120"/>
        <w:contextualSpacing/>
        <w:rPr>
          <w:rFonts w:eastAsia="Calibri" w:cs="Calibri"/>
          <w:color w:val="000000" w:themeColor="text1"/>
          <w:sz w:val="23"/>
          <w:szCs w:val="23"/>
          <w:lang w:val="fr-FR"/>
        </w:rPr>
      </w:pPr>
      <w:hyperlink r:id="rId17" w:history="1">
        <w:r w:rsidR="00B16BF2" w:rsidRPr="00B16BF2">
          <w:rPr>
            <w:rStyle w:val="Hyperlink"/>
            <w:sz w:val="23"/>
            <w:szCs w:val="23"/>
            <w:lang w:val="fr-FR"/>
          </w:rPr>
          <w:t>Boîte à outils méthodologique pour le droit à l'alimentation</w:t>
        </w:r>
      </w:hyperlink>
    </w:p>
    <w:p w14:paraId="5D30B067" w14:textId="15F5F4B4" w:rsidR="00E21809" w:rsidRPr="00B16BF2" w:rsidRDefault="00E21809" w:rsidP="00B16BF2">
      <w:pPr>
        <w:spacing w:before="120"/>
        <w:rPr>
          <w:rFonts w:asciiTheme="majorHAnsi" w:hAnsiTheme="majorHAnsi"/>
          <w:noProof/>
          <w:sz w:val="23"/>
          <w:szCs w:val="23"/>
          <w:lang w:val="fr-FR" w:eastAsia="zh-CN"/>
        </w:rPr>
      </w:pPr>
    </w:p>
    <w:sectPr w:rsidR="00E21809" w:rsidRPr="00B16BF2" w:rsidSect="008F2ADB">
      <w:headerReference w:type="default"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594B" w14:textId="77777777" w:rsidR="00CA0CE2" w:rsidRDefault="00CA0CE2" w:rsidP="00D079C6">
      <w:pPr>
        <w:spacing w:after="0"/>
      </w:pPr>
      <w:r>
        <w:separator/>
      </w:r>
    </w:p>
    <w:p w14:paraId="06418EC8" w14:textId="77777777" w:rsidR="00CA0CE2" w:rsidRDefault="00CA0CE2"/>
  </w:endnote>
  <w:endnote w:type="continuationSeparator" w:id="0">
    <w:p w14:paraId="0FC7EB45" w14:textId="77777777" w:rsidR="00CA0CE2" w:rsidRDefault="00CA0CE2" w:rsidP="00D079C6">
      <w:pPr>
        <w:spacing w:after="0"/>
      </w:pPr>
      <w:r>
        <w:continuationSeparator/>
      </w:r>
    </w:p>
    <w:p w14:paraId="039969B2" w14:textId="77777777" w:rsidR="00CA0CE2" w:rsidRDefault="00CA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748790E" w14:textId="77777777" w:rsidR="0083029A" w:rsidRPr="00AD2182" w:rsidRDefault="0083029A" w:rsidP="0083029A">
    <w:pPr>
      <w:pStyle w:val="Footer"/>
      <w:tabs>
        <w:tab w:val="clear" w:pos="9360"/>
        <w:tab w:val="right" w:pos="9639"/>
      </w:tabs>
      <w:jc w:val="left"/>
      <w:rPr>
        <w:color w:val="31849B" w:themeColor="accent5" w:themeShade="BF"/>
        <w:sz w:val="22"/>
        <w:u w:val="single"/>
        <w:lang w:val="fr-FR"/>
      </w:rPr>
    </w:pPr>
    <w:r w:rsidRPr="00AD2182">
      <w:rPr>
        <w:color w:val="31849B" w:themeColor="accent5" w:themeShade="BF"/>
        <w:sz w:val="22"/>
        <w:lang w:val="fr-FR"/>
      </w:rPr>
      <w:t>Forum global sur la sécurité alimentaire et la nutrition</w:t>
    </w:r>
    <w:r w:rsidRPr="00AD2182">
      <w:rPr>
        <w:color w:val="C00000"/>
        <w:sz w:val="22"/>
        <w:lang w:val="fr-FR"/>
      </w:rPr>
      <w:tab/>
    </w:r>
    <w:hyperlink r:id="rId1" w:history="1">
      <w:r w:rsidRPr="00AD2182">
        <w:rPr>
          <w:rStyle w:val="Hyperlink"/>
          <w:sz w:val="22"/>
          <w:lang w:val="fr-FR"/>
        </w:rPr>
        <w:t>www.fao.org/fsnforum/fr</w:t>
      </w:r>
    </w:hyperlink>
  </w:p>
  <w:p w14:paraId="33D9031D" w14:textId="77777777" w:rsidR="00523E6B" w:rsidRPr="0083029A" w:rsidRDefault="00523E6B"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1C3C853F" w14:textId="77777777" w:rsidR="0083029A" w:rsidRPr="00AD2182" w:rsidRDefault="0083029A" w:rsidP="0083029A">
    <w:pPr>
      <w:pStyle w:val="Footer"/>
      <w:tabs>
        <w:tab w:val="clear" w:pos="9360"/>
        <w:tab w:val="right" w:pos="9639"/>
      </w:tabs>
      <w:jc w:val="left"/>
      <w:rPr>
        <w:color w:val="31849B" w:themeColor="accent5" w:themeShade="BF"/>
        <w:sz w:val="22"/>
        <w:u w:val="single"/>
        <w:lang w:val="fr-FR"/>
      </w:rPr>
    </w:pPr>
    <w:r w:rsidRPr="00AD2182">
      <w:rPr>
        <w:color w:val="31849B" w:themeColor="accent5" w:themeShade="BF"/>
        <w:sz w:val="22"/>
        <w:lang w:val="fr-FR"/>
      </w:rPr>
      <w:t>Forum global sur la sécurité alimentaire et la nutrition</w:t>
    </w:r>
    <w:r w:rsidRPr="00AD2182">
      <w:rPr>
        <w:color w:val="C00000"/>
        <w:sz w:val="22"/>
        <w:lang w:val="fr-FR"/>
      </w:rPr>
      <w:tab/>
    </w:r>
    <w:hyperlink r:id="rId1" w:history="1">
      <w:r w:rsidRPr="00AD2182">
        <w:rPr>
          <w:rStyle w:val="Hyperlink"/>
          <w:sz w:val="22"/>
          <w:lang w:val="fr-FR"/>
        </w:rPr>
        <w:t>www.fao.org/fsnforum/fr</w:t>
      </w:r>
    </w:hyperlink>
  </w:p>
  <w:p w14:paraId="59223CEE" w14:textId="77777777" w:rsidR="00523E6B" w:rsidRPr="0083029A" w:rsidRDefault="00523E6B"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873C" w14:textId="77777777" w:rsidR="00CA0CE2" w:rsidRDefault="00CA0CE2" w:rsidP="00D079C6">
      <w:pPr>
        <w:spacing w:after="0"/>
      </w:pPr>
      <w:r>
        <w:separator/>
      </w:r>
    </w:p>
    <w:p w14:paraId="5B91F956" w14:textId="77777777" w:rsidR="00CA0CE2" w:rsidRDefault="00CA0CE2"/>
  </w:footnote>
  <w:footnote w:type="continuationSeparator" w:id="0">
    <w:p w14:paraId="3BABEA78" w14:textId="77777777" w:rsidR="00CA0CE2" w:rsidRDefault="00CA0CE2" w:rsidP="00D079C6">
      <w:pPr>
        <w:spacing w:after="0"/>
      </w:pPr>
      <w:r>
        <w:continuationSeparator/>
      </w:r>
    </w:p>
    <w:p w14:paraId="4D4EC201" w14:textId="77777777" w:rsidR="00CA0CE2" w:rsidRDefault="00CA0C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6E99223B"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0760EF">
            <w:rPr>
              <w:noProof/>
              <w:color w:val="31849B"/>
              <w:sz w:val="20"/>
              <w:szCs w:val="20"/>
            </w:rPr>
            <w:t>2</w:t>
          </w:r>
          <w:r w:rsidRPr="00B01341">
            <w:rPr>
              <w:color w:val="31849B"/>
              <w:sz w:val="20"/>
              <w:szCs w:val="20"/>
            </w:rPr>
            <w:fldChar w:fldCharType="end"/>
          </w:r>
        </w:p>
      </w:tc>
      <w:tc>
        <w:tcPr>
          <w:tcW w:w="4751" w:type="pct"/>
          <w:shd w:val="clear" w:color="auto" w:fill="auto"/>
        </w:tcPr>
        <w:p w14:paraId="34D3436F" w14:textId="7C4042A3" w:rsidR="00523E6B" w:rsidRPr="00232FAC" w:rsidRDefault="00232FAC" w:rsidP="00292D33">
          <w:pPr>
            <w:pStyle w:val="top"/>
            <w:rPr>
              <w:lang w:val="fr-FR"/>
            </w:rPr>
          </w:pPr>
          <w:r w:rsidRPr="00232FAC">
            <w:rPr>
              <w:lang w:val="fr-FR"/>
            </w:rPr>
            <w:t>20e anniversaire des Directives sur le droit à l'alimentation - Appel à contributions sur la concrétisation du droit de l'homme à une alimentation adéquate</w:t>
          </w:r>
        </w:p>
        <w:p w14:paraId="66B30B10" w14:textId="2C0A859F" w:rsidR="00BF5426" w:rsidRPr="00292D33" w:rsidRDefault="00232FAC" w:rsidP="00292D33">
          <w:pPr>
            <w:pStyle w:val="top"/>
            <w:rPr>
              <w:lang w:val="en-GB"/>
            </w:rPr>
          </w:pPr>
          <w:r w:rsidRPr="00232FAC">
            <w:rPr>
              <w:lang w:val="en-GB"/>
            </w:rPr>
            <w:t>APPELS À CONTRIBUTIONS</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78B1" w14:textId="77777777" w:rsidR="0083029A" w:rsidRDefault="00523E6B" w:rsidP="0083029A">
    <w:pPr>
      <w:pStyle w:val="Header"/>
      <w:jc w:val="left"/>
      <w:rPr>
        <w:b/>
        <w:color w:val="FFFFFF"/>
      </w:rPr>
    </w:pPr>
    <w:r w:rsidRPr="00DC6173">
      <w:t xml:space="preserve"> </w:t>
    </w:r>
    <w:r w:rsidR="0083029A">
      <w:rPr>
        <w:b/>
        <w:noProof/>
        <w:color w:val="FFFFFF"/>
        <w:lang w:eastAsia="zh-CN"/>
      </w:rPr>
      <w:drawing>
        <wp:inline distT="0" distB="0" distL="0" distR="0" wp14:anchorId="7EB8F0DB" wp14:editId="17FCFC98">
          <wp:extent cx="3792393" cy="720000"/>
          <wp:effectExtent l="0" t="0" r="0" b="0"/>
          <wp:docPr id="2"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79FF26E4" w14:textId="77777777" w:rsidR="0083029A" w:rsidRDefault="0083029A" w:rsidP="0083029A">
    <w:pPr>
      <w:pStyle w:val="Header"/>
      <w:jc w:val="right"/>
      <w:rPr>
        <w:b/>
        <w:color w:val="FFFFFF"/>
      </w:rPr>
    </w:pPr>
  </w:p>
  <w:p w14:paraId="4C83FE20" w14:textId="77777777" w:rsidR="0083029A" w:rsidRPr="00242BC8" w:rsidRDefault="0083029A" w:rsidP="0083029A">
    <w:pPr>
      <w:pStyle w:val="Heading4"/>
    </w:pPr>
    <w:r>
      <w:rPr>
        <w:noProof/>
        <w:lang w:eastAsia="zh-CN"/>
      </w:rPr>
      <w:drawing>
        <wp:inline distT="0" distB="0" distL="0" distR="0" wp14:anchorId="5F731095" wp14:editId="5C501B43">
          <wp:extent cx="6120765" cy="432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133CB298" w:rsidR="00523E6B" w:rsidRPr="0043646E" w:rsidRDefault="0083029A" w:rsidP="00562B32">
          <w:pPr>
            <w:pStyle w:val="Heading6"/>
            <w:spacing w:before="0" w:after="0"/>
          </w:pPr>
          <w:r>
            <w:t>SUJET</w:t>
          </w:r>
        </w:p>
      </w:tc>
    </w:tr>
    <w:tr w:rsidR="00523E6B" w:rsidRPr="00EB3574" w14:paraId="36933E01" w14:textId="77777777" w:rsidTr="00A30E12">
      <w:trPr>
        <w:jc w:val="center"/>
      </w:trPr>
      <w:tc>
        <w:tcPr>
          <w:tcW w:w="9639" w:type="dxa"/>
          <w:shd w:val="clear" w:color="auto" w:fill="FFFFFF" w:themeFill="background1"/>
        </w:tcPr>
        <w:p w14:paraId="0A3BE37F" w14:textId="7B173E1B" w:rsidR="00E7714A" w:rsidRPr="00036912" w:rsidRDefault="001C2E9A" w:rsidP="001C2E9A">
          <w:pPr>
            <w:spacing w:after="0" w:line="276" w:lineRule="auto"/>
            <w:jc w:val="center"/>
            <w:rPr>
              <w:rFonts w:asciiTheme="majorHAnsi" w:hAnsiTheme="majorHAnsi"/>
              <w:b/>
              <w:color w:val="31849B" w:themeColor="accent5" w:themeShade="BF"/>
              <w:sz w:val="22"/>
            </w:rPr>
          </w:pPr>
          <w:r>
            <w:rPr>
              <w:rFonts w:asciiTheme="majorHAnsi" w:hAnsiTheme="majorHAnsi"/>
              <w:b/>
              <w:sz w:val="22"/>
            </w:rPr>
            <w:t>15</w:t>
          </w:r>
          <w:r w:rsidR="00213685">
            <w:rPr>
              <w:rFonts w:asciiTheme="majorHAnsi" w:hAnsiTheme="majorHAnsi"/>
              <w:b/>
              <w:sz w:val="22"/>
            </w:rPr>
            <w:t>.0</w:t>
          </w:r>
          <w:r>
            <w:rPr>
              <w:rFonts w:asciiTheme="majorHAnsi" w:hAnsiTheme="majorHAnsi"/>
              <w:b/>
              <w:sz w:val="22"/>
            </w:rPr>
            <w:t>5</w:t>
          </w:r>
          <w:r w:rsidR="00213685">
            <w:rPr>
              <w:rFonts w:asciiTheme="majorHAnsi" w:hAnsiTheme="majorHAnsi"/>
              <w:b/>
              <w:sz w:val="22"/>
            </w:rPr>
            <w:t>.2023</w:t>
          </w:r>
          <w:r w:rsidR="00E21809" w:rsidRPr="00036912">
            <w:rPr>
              <w:rFonts w:asciiTheme="majorHAnsi" w:hAnsiTheme="majorHAnsi"/>
              <w:b/>
              <w:sz w:val="22"/>
            </w:rPr>
            <w:t xml:space="preserve"> – </w:t>
          </w:r>
          <w:r>
            <w:rPr>
              <w:rFonts w:asciiTheme="majorHAnsi" w:hAnsiTheme="majorHAnsi"/>
              <w:b/>
              <w:sz w:val="22"/>
            </w:rPr>
            <w:t>23.06</w:t>
          </w:r>
          <w:r w:rsidR="00213685">
            <w:rPr>
              <w:rFonts w:asciiTheme="majorHAnsi" w:hAnsiTheme="majorHAnsi"/>
              <w:b/>
              <w:sz w:val="22"/>
            </w:rPr>
            <w:t>.2023</w:t>
          </w:r>
          <w:r w:rsidR="00523E6B" w:rsidRPr="00036912">
            <w:rPr>
              <w:rFonts w:asciiTheme="majorHAnsi" w:hAnsiTheme="majorHAnsi"/>
              <w:b/>
              <w:color w:val="31849B" w:themeColor="accent5" w:themeShade="BF"/>
              <w:sz w:val="22"/>
            </w:rPr>
            <w:br/>
          </w:r>
          <w:r w:rsidR="00523E6B" w:rsidRPr="00F7180D">
            <w:rPr>
              <w:noProof/>
              <w:sz w:val="22"/>
              <w:lang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F7180D">
            <w:rPr>
              <w:sz w:val="22"/>
            </w:rPr>
            <w:t xml:space="preserve">   </w:t>
          </w:r>
          <w:hyperlink r:id="rId4" w:history="1">
            <w:r w:rsidR="00762CB8">
              <w:rPr>
                <w:rStyle w:val="Hyperlink"/>
                <w:sz w:val="22"/>
              </w:rPr>
              <w:t>https://www.fao.org/fsnforum/fr/call-submissions/20th-anniversary-right-food-guidelines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33760"/>
    <w:multiLevelType w:val="hybridMultilevel"/>
    <w:tmpl w:val="1A8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E5F04"/>
    <w:multiLevelType w:val="hybridMultilevel"/>
    <w:tmpl w:val="FFFFFFFF"/>
    <w:lvl w:ilvl="0" w:tplc="E3D866F0">
      <w:start w:val="1"/>
      <w:numFmt w:val="bullet"/>
      <w:lvlText w:val=""/>
      <w:lvlJc w:val="left"/>
      <w:pPr>
        <w:ind w:left="720" w:hanging="360"/>
      </w:pPr>
      <w:rPr>
        <w:rFonts w:ascii="Symbol" w:hAnsi="Symbol" w:hint="default"/>
      </w:rPr>
    </w:lvl>
    <w:lvl w:ilvl="1" w:tplc="71FA0FAA">
      <w:start w:val="1"/>
      <w:numFmt w:val="bullet"/>
      <w:lvlText w:val="o"/>
      <w:lvlJc w:val="left"/>
      <w:pPr>
        <w:ind w:left="1440" w:hanging="360"/>
      </w:pPr>
      <w:rPr>
        <w:rFonts w:ascii="Courier New" w:hAnsi="Courier New" w:hint="default"/>
      </w:rPr>
    </w:lvl>
    <w:lvl w:ilvl="2" w:tplc="46AC8802">
      <w:start w:val="1"/>
      <w:numFmt w:val="bullet"/>
      <w:lvlText w:val=""/>
      <w:lvlJc w:val="left"/>
      <w:pPr>
        <w:ind w:left="2160" w:hanging="360"/>
      </w:pPr>
      <w:rPr>
        <w:rFonts w:ascii="Wingdings" w:hAnsi="Wingdings" w:hint="default"/>
      </w:rPr>
    </w:lvl>
    <w:lvl w:ilvl="3" w:tplc="5D029DFA">
      <w:start w:val="1"/>
      <w:numFmt w:val="bullet"/>
      <w:lvlText w:val=""/>
      <w:lvlJc w:val="left"/>
      <w:pPr>
        <w:ind w:left="2880" w:hanging="360"/>
      </w:pPr>
      <w:rPr>
        <w:rFonts w:ascii="Symbol" w:hAnsi="Symbol" w:hint="default"/>
      </w:rPr>
    </w:lvl>
    <w:lvl w:ilvl="4" w:tplc="30269CC2">
      <w:start w:val="1"/>
      <w:numFmt w:val="bullet"/>
      <w:lvlText w:val="o"/>
      <w:lvlJc w:val="left"/>
      <w:pPr>
        <w:ind w:left="3600" w:hanging="360"/>
      </w:pPr>
      <w:rPr>
        <w:rFonts w:ascii="Courier New" w:hAnsi="Courier New" w:hint="default"/>
      </w:rPr>
    </w:lvl>
    <w:lvl w:ilvl="5" w:tplc="371C8D0A">
      <w:start w:val="1"/>
      <w:numFmt w:val="bullet"/>
      <w:lvlText w:val=""/>
      <w:lvlJc w:val="left"/>
      <w:pPr>
        <w:ind w:left="4320" w:hanging="360"/>
      </w:pPr>
      <w:rPr>
        <w:rFonts w:ascii="Wingdings" w:hAnsi="Wingdings" w:hint="default"/>
      </w:rPr>
    </w:lvl>
    <w:lvl w:ilvl="6" w:tplc="2FBA43E4">
      <w:start w:val="1"/>
      <w:numFmt w:val="bullet"/>
      <w:lvlText w:val=""/>
      <w:lvlJc w:val="left"/>
      <w:pPr>
        <w:ind w:left="5040" w:hanging="360"/>
      </w:pPr>
      <w:rPr>
        <w:rFonts w:ascii="Symbol" w:hAnsi="Symbol" w:hint="default"/>
      </w:rPr>
    </w:lvl>
    <w:lvl w:ilvl="7" w:tplc="00761DA0">
      <w:start w:val="1"/>
      <w:numFmt w:val="bullet"/>
      <w:lvlText w:val="o"/>
      <w:lvlJc w:val="left"/>
      <w:pPr>
        <w:ind w:left="5760" w:hanging="360"/>
      </w:pPr>
      <w:rPr>
        <w:rFonts w:ascii="Courier New" w:hAnsi="Courier New" w:hint="default"/>
      </w:rPr>
    </w:lvl>
    <w:lvl w:ilvl="8" w:tplc="DB923002">
      <w:start w:val="1"/>
      <w:numFmt w:val="bullet"/>
      <w:lvlText w:val=""/>
      <w:lvlJc w:val="left"/>
      <w:pPr>
        <w:ind w:left="6480" w:hanging="360"/>
      </w:pPr>
      <w:rPr>
        <w:rFonts w:ascii="Wingdings" w:hAnsi="Wingdings" w:hint="default"/>
      </w:rPr>
    </w:lvl>
  </w:abstractNum>
  <w:abstractNum w:abstractNumId="8"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5F63EC"/>
    <w:multiLevelType w:val="hybridMultilevel"/>
    <w:tmpl w:val="3C8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5F71CC"/>
    <w:multiLevelType w:val="hybridMultilevel"/>
    <w:tmpl w:val="DE9A6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52C87"/>
    <w:multiLevelType w:val="hybridMultilevel"/>
    <w:tmpl w:val="CB0E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1" w15:restartNumberingAfterBreak="0">
    <w:nsid w:val="2E144C8A"/>
    <w:multiLevelType w:val="hybridMultilevel"/>
    <w:tmpl w:val="FFFFFFFF"/>
    <w:lvl w:ilvl="0" w:tplc="EDEE7FDE">
      <w:start w:val="1"/>
      <w:numFmt w:val="bullet"/>
      <w:lvlText w:val=""/>
      <w:lvlJc w:val="left"/>
      <w:pPr>
        <w:ind w:left="720" w:hanging="360"/>
      </w:pPr>
      <w:rPr>
        <w:rFonts w:ascii="Symbol" w:hAnsi="Symbol" w:hint="default"/>
      </w:rPr>
    </w:lvl>
    <w:lvl w:ilvl="1" w:tplc="FFBECAD0">
      <w:start w:val="1"/>
      <w:numFmt w:val="bullet"/>
      <w:lvlText w:val="o"/>
      <w:lvlJc w:val="left"/>
      <w:pPr>
        <w:ind w:left="1440" w:hanging="360"/>
      </w:pPr>
      <w:rPr>
        <w:rFonts w:ascii="Courier New" w:hAnsi="Courier New" w:hint="default"/>
      </w:rPr>
    </w:lvl>
    <w:lvl w:ilvl="2" w:tplc="0F8252D2">
      <w:start w:val="1"/>
      <w:numFmt w:val="bullet"/>
      <w:lvlText w:val=""/>
      <w:lvlJc w:val="left"/>
      <w:pPr>
        <w:ind w:left="2160" w:hanging="360"/>
      </w:pPr>
      <w:rPr>
        <w:rFonts w:ascii="Wingdings" w:hAnsi="Wingdings" w:hint="default"/>
      </w:rPr>
    </w:lvl>
    <w:lvl w:ilvl="3" w:tplc="A6C2D3B0">
      <w:start w:val="1"/>
      <w:numFmt w:val="bullet"/>
      <w:lvlText w:val=""/>
      <w:lvlJc w:val="left"/>
      <w:pPr>
        <w:ind w:left="2880" w:hanging="360"/>
      </w:pPr>
      <w:rPr>
        <w:rFonts w:ascii="Symbol" w:hAnsi="Symbol" w:hint="default"/>
      </w:rPr>
    </w:lvl>
    <w:lvl w:ilvl="4" w:tplc="998C1FD4">
      <w:start w:val="1"/>
      <w:numFmt w:val="bullet"/>
      <w:lvlText w:val="o"/>
      <w:lvlJc w:val="left"/>
      <w:pPr>
        <w:ind w:left="3600" w:hanging="360"/>
      </w:pPr>
      <w:rPr>
        <w:rFonts w:ascii="Courier New" w:hAnsi="Courier New" w:hint="default"/>
      </w:rPr>
    </w:lvl>
    <w:lvl w:ilvl="5" w:tplc="6AAA60C6">
      <w:start w:val="1"/>
      <w:numFmt w:val="bullet"/>
      <w:lvlText w:val=""/>
      <w:lvlJc w:val="left"/>
      <w:pPr>
        <w:ind w:left="4320" w:hanging="360"/>
      </w:pPr>
      <w:rPr>
        <w:rFonts w:ascii="Wingdings" w:hAnsi="Wingdings" w:hint="default"/>
      </w:rPr>
    </w:lvl>
    <w:lvl w:ilvl="6" w:tplc="1CB835D6">
      <w:start w:val="1"/>
      <w:numFmt w:val="bullet"/>
      <w:lvlText w:val=""/>
      <w:lvlJc w:val="left"/>
      <w:pPr>
        <w:ind w:left="5040" w:hanging="360"/>
      </w:pPr>
      <w:rPr>
        <w:rFonts w:ascii="Symbol" w:hAnsi="Symbol" w:hint="default"/>
      </w:rPr>
    </w:lvl>
    <w:lvl w:ilvl="7" w:tplc="C62AF4F0">
      <w:start w:val="1"/>
      <w:numFmt w:val="bullet"/>
      <w:lvlText w:val="o"/>
      <w:lvlJc w:val="left"/>
      <w:pPr>
        <w:ind w:left="5760" w:hanging="360"/>
      </w:pPr>
      <w:rPr>
        <w:rFonts w:ascii="Courier New" w:hAnsi="Courier New" w:hint="default"/>
      </w:rPr>
    </w:lvl>
    <w:lvl w:ilvl="8" w:tplc="1F984C78">
      <w:start w:val="1"/>
      <w:numFmt w:val="bullet"/>
      <w:lvlText w:val=""/>
      <w:lvlJc w:val="left"/>
      <w:pPr>
        <w:ind w:left="6480" w:hanging="360"/>
      </w:pPr>
      <w:rPr>
        <w:rFonts w:ascii="Wingdings" w:hAnsi="Wingdings" w:hint="default"/>
      </w:rPr>
    </w:lvl>
  </w:abstractNum>
  <w:abstractNum w:abstractNumId="2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E83443"/>
    <w:multiLevelType w:val="hybridMultilevel"/>
    <w:tmpl w:val="7A208BE4"/>
    <w:lvl w:ilvl="0" w:tplc="213437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C2ECA"/>
    <w:multiLevelType w:val="hybridMultilevel"/>
    <w:tmpl w:val="564C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2" w15:restartNumberingAfterBreak="0">
    <w:nsid w:val="60270974"/>
    <w:multiLevelType w:val="hybridMultilevel"/>
    <w:tmpl w:val="C160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82D87"/>
    <w:multiLevelType w:val="hybridMultilevel"/>
    <w:tmpl w:val="7DCA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E6CF9"/>
    <w:multiLevelType w:val="hybridMultilevel"/>
    <w:tmpl w:val="D8D4E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0"/>
  </w:num>
  <w:num w:numId="4">
    <w:abstractNumId w:val="24"/>
  </w:num>
  <w:num w:numId="5">
    <w:abstractNumId w:val="9"/>
  </w:num>
  <w:num w:numId="6">
    <w:abstractNumId w:val="28"/>
  </w:num>
  <w:num w:numId="7">
    <w:abstractNumId w:val="11"/>
  </w:num>
  <w:num w:numId="8">
    <w:abstractNumId w:val="13"/>
  </w:num>
  <w:num w:numId="9">
    <w:abstractNumId w:val="26"/>
  </w:num>
  <w:num w:numId="10">
    <w:abstractNumId w:val="29"/>
  </w:num>
  <w:num w:numId="11">
    <w:abstractNumId w:val="22"/>
  </w:num>
  <w:num w:numId="12">
    <w:abstractNumId w:val="29"/>
  </w:num>
  <w:num w:numId="13">
    <w:abstractNumId w:val="33"/>
  </w:num>
  <w:num w:numId="14">
    <w:abstractNumId w:val="5"/>
  </w:num>
  <w:num w:numId="15">
    <w:abstractNumId w:val="34"/>
  </w:num>
  <w:num w:numId="16">
    <w:abstractNumId w:val="12"/>
  </w:num>
  <w:num w:numId="17">
    <w:abstractNumId w:val="18"/>
  </w:num>
  <w:num w:numId="18">
    <w:abstractNumId w:val="35"/>
  </w:num>
  <w:num w:numId="19">
    <w:abstractNumId w:val="3"/>
  </w:num>
  <w:num w:numId="20">
    <w:abstractNumId w:val="39"/>
  </w:num>
  <w:num w:numId="21">
    <w:abstractNumId w:val="20"/>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15"/>
  </w:num>
  <w:num w:numId="27">
    <w:abstractNumId w:val="6"/>
  </w:num>
  <w:num w:numId="28">
    <w:abstractNumId w:val="1"/>
  </w:num>
  <w:num w:numId="29">
    <w:abstractNumId w:val="37"/>
  </w:num>
  <w:num w:numId="30">
    <w:abstractNumId w:val="8"/>
  </w:num>
  <w:num w:numId="31">
    <w:abstractNumId w:val="2"/>
  </w:num>
  <w:num w:numId="32">
    <w:abstractNumId w:val="17"/>
  </w:num>
  <w:num w:numId="33">
    <w:abstractNumId w:val="38"/>
  </w:num>
  <w:num w:numId="34">
    <w:abstractNumId w:val="19"/>
  </w:num>
  <w:num w:numId="35">
    <w:abstractNumId w:val="32"/>
  </w:num>
  <w:num w:numId="36">
    <w:abstractNumId w:val="14"/>
  </w:num>
  <w:num w:numId="37">
    <w:abstractNumId w:val="23"/>
  </w:num>
  <w:num w:numId="38">
    <w:abstractNumId w:val="25"/>
  </w:num>
  <w:num w:numId="39">
    <w:abstractNumId w:val="21"/>
  </w:num>
  <w:num w:numId="40">
    <w:abstractNumId w:val="7"/>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56F2"/>
    <w:rsid w:val="00016690"/>
    <w:rsid w:val="00024193"/>
    <w:rsid w:val="00024380"/>
    <w:rsid w:val="00025F78"/>
    <w:rsid w:val="00036912"/>
    <w:rsid w:val="00037863"/>
    <w:rsid w:val="000411F2"/>
    <w:rsid w:val="000421C7"/>
    <w:rsid w:val="000502AF"/>
    <w:rsid w:val="0005149B"/>
    <w:rsid w:val="00056074"/>
    <w:rsid w:val="00056289"/>
    <w:rsid w:val="00060C04"/>
    <w:rsid w:val="00062210"/>
    <w:rsid w:val="00065A57"/>
    <w:rsid w:val="0006745E"/>
    <w:rsid w:val="00067649"/>
    <w:rsid w:val="00067C97"/>
    <w:rsid w:val="00070649"/>
    <w:rsid w:val="00070A34"/>
    <w:rsid w:val="0007157E"/>
    <w:rsid w:val="000719AE"/>
    <w:rsid w:val="000731D0"/>
    <w:rsid w:val="000750AF"/>
    <w:rsid w:val="000760EF"/>
    <w:rsid w:val="00077238"/>
    <w:rsid w:val="00081ACF"/>
    <w:rsid w:val="00085A3B"/>
    <w:rsid w:val="000862CA"/>
    <w:rsid w:val="000929E7"/>
    <w:rsid w:val="00094770"/>
    <w:rsid w:val="000A1DCA"/>
    <w:rsid w:val="000A647B"/>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6A7E"/>
    <w:rsid w:val="001776D8"/>
    <w:rsid w:val="00181E0E"/>
    <w:rsid w:val="00183547"/>
    <w:rsid w:val="001863B0"/>
    <w:rsid w:val="001907D7"/>
    <w:rsid w:val="001908FC"/>
    <w:rsid w:val="00191B51"/>
    <w:rsid w:val="00192501"/>
    <w:rsid w:val="00195DDD"/>
    <w:rsid w:val="001B1DC2"/>
    <w:rsid w:val="001B4926"/>
    <w:rsid w:val="001B746D"/>
    <w:rsid w:val="001B7B9C"/>
    <w:rsid w:val="001C0DE7"/>
    <w:rsid w:val="001C2E9A"/>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3685"/>
    <w:rsid w:val="00215654"/>
    <w:rsid w:val="00220776"/>
    <w:rsid w:val="00220FC1"/>
    <w:rsid w:val="002228EA"/>
    <w:rsid w:val="00232FAC"/>
    <w:rsid w:val="00235327"/>
    <w:rsid w:val="00236D4C"/>
    <w:rsid w:val="00242954"/>
    <w:rsid w:val="00242BC8"/>
    <w:rsid w:val="00245034"/>
    <w:rsid w:val="002475DE"/>
    <w:rsid w:val="00250E1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040"/>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30F58"/>
    <w:rsid w:val="003318B1"/>
    <w:rsid w:val="00331C9F"/>
    <w:rsid w:val="003369B5"/>
    <w:rsid w:val="00342EE0"/>
    <w:rsid w:val="0034511D"/>
    <w:rsid w:val="00346BAD"/>
    <w:rsid w:val="00347008"/>
    <w:rsid w:val="00351B73"/>
    <w:rsid w:val="003524E4"/>
    <w:rsid w:val="00355C12"/>
    <w:rsid w:val="003562B1"/>
    <w:rsid w:val="003604B7"/>
    <w:rsid w:val="00362508"/>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201"/>
    <w:rsid w:val="003E7A41"/>
    <w:rsid w:val="003F1596"/>
    <w:rsid w:val="003F1C60"/>
    <w:rsid w:val="003F2437"/>
    <w:rsid w:val="004001EC"/>
    <w:rsid w:val="00402F5C"/>
    <w:rsid w:val="004071A9"/>
    <w:rsid w:val="00413C59"/>
    <w:rsid w:val="00414098"/>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4997"/>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11BC"/>
    <w:rsid w:val="004F31FF"/>
    <w:rsid w:val="004F67DD"/>
    <w:rsid w:val="00501155"/>
    <w:rsid w:val="00502264"/>
    <w:rsid w:val="005031A5"/>
    <w:rsid w:val="00503765"/>
    <w:rsid w:val="0050393D"/>
    <w:rsid w:val="0050498E"/>
    <w:rsid w:val="00504AA4"/>
    <w:rsid w:val="005110EF"/>
    <w:rsid w:val="00513851"/>
    <w:rsid w:val="0051392C"/>
    <w:rsid w:val="0051637D"/>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27D3D"/>
    <w:rsid w:val="006313F6"/>
    <w:rsid w:val="00631E59"/>
    <w:rsid w:val="0063372F"/>
    <w:rsid w:val="00635B13"/>
    <w:rsid w:val="006420B5"/>
    <w:rsid w:val="00642134"/>
    <w:rsid w:val="00643AF8"/>
    <w:rsid w:val="00645189"/>
    <w:rsid w:val="00646CD9"/>
    <w:rsid w:val="006509CA"/>
    <w:rsid w:val="00657384"/>
    <w:rsid w:val="00665C1C"/>
    <w:rsid w:val="00667362"/>
    <w:rsid w:val="00670054"/>
    <w:rsid w:val="006714F3"/>
    <w:rsid w:val="00672921"/>
    <w:rsid w:val="006737EF"/>
    <w:rsid w:val="0068197B"/>
    <w:rsid w:val="00683B8D"/>
    <w:rsid w:val="00685018"/>
    <w:rsid w:val="00685AC1"/>
    <w:rsid w:val="00691DC6"/>
    <w:rsid w:val="00692321"/>
    <w:rsid w:val="00693AC1"/>
    <w:rsid w:val="00694955"/>
    <w:rsid w:val="006A3143"/>
    <w:rsid w:val="006A3772"/>
    <w:rsid w:val="006A5561"/>
    <w:rsid w:val="006A566A"/>
    <w:rsid w:val="006A61D9"/>
    <w:rsid w:val="006B2C0F"/>
    <w:rsid w:val="006B5C1A"/>
    <w:rsid w:val="006B5D61"/>
    <w:rsid w:val="006B632F"/>
    <w:rsid w:val="006B734B"/>
    <w:rsid w:val="006B76E6"/>
    <w:rsid w:val="006C6EE4"/>
    <w:rsid w:val="006D0BEC"/>
    <w:rsid w:val="006D57D4"/>
    <w:rsid w:val="006D6502"/>
    <w:rsid w:val="006E07F8"/>
    <w:rsid w:val="006E1543"/>
    <w:rsid w:val="006E1D74"/>
    <w:rsid w:val="006E46C7"/>
    <w:rsid w:val="006E6A93"/>
    <w:rsid w:val="006F3F14"/>
    <w:rsid w:val="006F5811"/>
    <w:rsid w:val="007008BB"/>
    <w:rsid w:val="00701070"/>
    <w:rsid w:val="00701231"/>
    <w:rsid w:val="0070221C"/>
    <w:rsid w:val="00702D28"/>
    <w:rsid w:val="00703374"/>
    <w:rsid w:val="00705BBF"/>
    <w:rsid w:val="00712152"/>
    <w:rsid w:val="00713320"/>
    <w:rsid w:val="00714749"/>
    <w:rsid w:val="00721603"/>
    <w:rsid w:val="00724726"/>
    <w:rsid w:val="0072710F"/>
    <w:rsid w:val="00732662"/>
    <w:rsid w:val="00735512"/>
    <w:rsid w:val="00736BFE"/>
    <w:rsid w:val="00741A1E"/>
    <w:rsid w:val="00744A84"/>
    <w:rsid w:val="00745E70"/>
    <w:rsid w:val="00747799"/>
    <w:rsid w:val="007527DA"/>
    <w:rsid w:val="00756497"/>
    <w:rsid w:val="007606BC"/>
    <w:rsid w:val="00762CB8"/>
    <w:rsid w:val="00763A00"/>
    <w:rsid w:val="00764C00"/>
    <w:rsid w:val="00766E6F"/>
    <w:rsid w:val="00771B53"/>
    <w:rsid w:val="007744AA"/>
    <w:rsid w:val="00774FED"/>
    <w:rsid w:val="007808AE"/>
    <w:rsid w:val="00783498"/>
    <w:rsid w:val="0078372B"/>
    <w:rsid w:val="00786AE7"/>
    <w:rsid w:val="00790F89"/>
    <w:rsid w:val="0079660C"/>
    <w:rsid w:val="0079766A"/>
    <w:rsid w:val="007A78E2"/>
    <w:rsid w:val="007B25AE"/>
    <w:rsid w:val="007B2927"/>
    <w:rsid w:val="007B68F4"/>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29A"/>
    <w:rsid w:val="008306F9"/>
    <w:rsid w:val="00832491"/>
    <w:rsid w:val="00832617"/>
    <w:rsid w:val="0083360F"/>
    <w:rsid w:val="00835461"/>
    <w:rsid w:val="008373B3"/>
    <w:rsid w:val="008407B0"/>
    <w:rsid w:val="00840F35"/>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C6550"/>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3D0E"/>
    <w:rsid w:val="00A6607D"/>
    <w:rsid w:val="00A675E8"/>
    <w:rsid w:val="00A72480"/>
    <w:rsid w:val="00A73368"/>
    <w:rsid w:val="00A74F65"/>
    <w:rsid w:val="00A76E23"/>
    <w:rsid w:val="00A83C07"/>
    <w:rsid w:val="00A83DBE"/>
    <w:rsid w:val="00A86FB2"/>
    <w:rsid w:val="00A92376"/>
    <w:rsid w:val="00AA277E"/>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28BD"/>
    <w:rsid w:val="00B057CC"/>
    <w:rsid w:val="00B067A1"/>
    <w:rsid w:val="00B0735E"/>
    <w:rsid w:val="00B103B4"/>
    <w:rsid w:val="00B11EBE"/>
    <w:rsid w:val="00B13424"/>
    <w:rsid w:val="00B16BF2"/>
    <w:rsid w:val="00B22FF0"/>
    <w:rsid w:val="00B330F2"/>
    <w:rsid w:val="00B34236"/>
    <w:rsid w:val="00B35E4D"/>
    <w:rsid w:val="00B36508"/>
    <w:rsid w:val="00B37745"/>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5426"/>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86D56"/>
    <w:rsid w:val="00C90D7D"/>
    <w:rsid w:val="00C90F25"/>
    <w:rsid w:val="00C9156C"/>
    <w:rsid w:val="00C92932"/>
    <w:rsid w:val="00C9410C"/>
    <w:rsid w:val="00C94219"/>
    <w:rsid w:val="00C955C6"/>
    <w:rsid w:val="00C978E4"/>
    <w:rsid w:val="00CA0CE2"/>
    <w:rsid w:val="00CA49D2"/>
    <w:rsid w:val="00CA68E2"/>
    <w:rsid w:val="00CA6964"/>
    <w:rsid w:val="00CA6CCB"/>
    <w:rsid w:val="00CA7CB8"/>
    <w:rsid w:val="00CB6B55"/>
    <w:rsid w:val="00CC0792"/>
    <w:rsid w:val="00CC0FDF"/>
    <w:rsid w:val="00CC2CD4"/>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6C01"/>
    <w:rsid w:val="00D079C6"/>
    <w:rsid w:val="00D15D3B"/>
    <w:rsid w:val="00D24866"/>
    <w:rsid w:val="00D25B49"/>
    <w:rsid w:val="00D268CB"/>
    <w:rsid w:val="00D33BDD"/>
    <w:rsid w:val="00D41348"/>
    <w:rsid w:val="00D53176"/>
    <w:rsid w:val="00D55377"/>
    <w:rsid w:val="00D57587"/>
    <w:rsid w:val="00D5774A"/>
    <w:rsid w:val="00D6159F"/>
    <w:rsid w:val="00D63C7B"/>
    <w:rsid w:val="00D679F3"/>
    <w:rsid w:val="00D734AF"/>
    <w:rsid w:val="00D76655"/>
    <w:rsid w:val="00D804F4"/>
    <w:rsid w:val="00D80B4D"/>
    <w:rsid w:val="00D81E04"/>
    <w:rsid w:val="00D828DB"/>
    <w:rsid w:val="00D8370B"/>
    <w:rsid w:val="00D8573F"/>
    <w:rsid w:val="00D91953"/>
    <w:rsid w:val="00D96E44"/>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753D"/>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16400"/>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36E8"/>
    <w:rsid w:val="00F6439A"/>
    <w:rsid w:val="00F66100"/>
    <w:rsid w:val="00F703B2"/>
    <w:rsid w:val="00F70EFE"/>
    <w:rsid w:val="00F7180D"/>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35D0"/>
    <w:rsid w:val="00FC725F"/>
    <w:rsid w:val="00FC7B5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8510">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270613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32413874">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sn-moderator@fa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ssets.fsnforum.fao.org/public/files/FR_Template_Right-to-Food-Guidelines.docx" TargetMode="External"/><Relationship Id="rId17" Type="http://schemas.openxmlformats.org/officeDocument/2006/relationships/hyperlink" Target="https://www.fao.org/right-to-food/resources/rtf-methodological-toolbox/fr/" TargetMode="External"/><Relationship Id="rId2" Type="http://schemas.openxmlformats.org/officeDocument/2006/relationships/numbering" Target="numbering.xml"/><Relationship Id="rId16" Type="http://schemas.openxmlformats.org/officeDocument/2006/relationships/hyperlink" Target="https://www.fao.org/right-to-food/resources/rtf-handbooks/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5" Type="http://schemas.openxmlformats.org/officeDocument/2006/relationships/hyperlink" Target="https://www.fao.org/right-to-food/resources/resources-detail/fr/c/1253639/" TargetMode="External"/><Relationship Id="rId23" Type="http://schemas.openxmlformats.org/officeDocument/2006/relationships/theme" Target="theme/theme1.xml"/><Relationship Id="rId10" Type="http://schemas.openxmlformats.org/officeDocument/2006/relationships/hyperlink" Target="https://www.un.org/sustainabledevelopment/fr/development-agen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o.org/3/y7937f/y7937f.pdf" TargetMode="External"/><Relationship Id="rId14" Type="http://schemas.openxmlformats.org/officeDocument/2006/relationships/hyperlink" Target="https://www.fao.org/3/y7937f/y7937f.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fao.org/fsnforum/fr/call-submissions/20th-anniversary-right-foo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F5B73-0296-4030-9450-7A8F98E8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937</Words>
  <Characters>5347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6272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Livinets, Svetlana (ESA)</cp:lastModifiedBy>
  <cp:revision>9</cp:revision>
  <cp:lastPrinted>2015-10-06T13:23:00Z</cp:lastPrinted>
  <dcterms:created xsi:type="dcterms:W3CDTF">2023-05-15T08:27:00Z</dcterms:created>
  <dcterms:modified xsi:type="dcterms:W3CDTF">2023-05-15T09:43:00Z</dcterms:modified>
</cp:coreProperties>
</file>