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7D4EC" w14:textId="0570D516" w:rsidR="001035C6" w:rsidRPr="00837AC6" w:rsidRDefault="001035C6" w:rsidP="001035C6">
      <w:pPr>
        <w:pStyle w:val="Style1"/>
        <w:rPr>
          <w:sz w:val="32"/>
          <w:szCs w:val="32"/>
          <w:lang w:val="it-IT"/>
        </w:rPr>
      </w:pPr>
      <w:r w:rsidRPr="00837AC6">
        <w:rPr>
          <w:sz w:val="32"/>
          <w:szCs w:val="32"/>
          <w:lang w:val="es-ES"/>
        </w:rPr>
        <w:t>Convocatorias para la presentaci</w:t>
      </w:r>
      <w:r w:rsidRPr="00837AC6">
        <w:rPr>
          <w:sz w:val="32"/>
          <w:szCs w:val="32"/>
          <w:lang w:val="it-IT"/>
        </w:rPr>
        <w:t>ó</w:t>
      </w:r>
      <w:r w:rsidRPr="00837AC6">
        <w:rPr>
          <w:sz w:val="32"/>
          <w:szCs w:val="32"/>
          <w:lang w:val="es-ES"/>
        </w:rPr>
        <w:t>n de temas</w:t>
      </w:r>
      <w:r w:rsidRPr="00837AC6">
        <w:rPr>
          <w:sz w:val="32"/>
          <w:szCs w:val="32"/>
          <w:lang w:val="it-IT"/>
        </w:rPr>
        <w:t xml:space="preserve">: </w:t>
      </w:r>
    </w:p>
    <w:p w14:paraId="3408AD9E" w14:textId="5620A647" w:rsidR="00BC5E32" w:rsidRPr="00BC5E32" w:rsidRDefault="001035C6" w:rsidP="000B7136">
      <w:pPr>
        <w:pStyle w:val="Style1"/>
        <w:jc w:val="left"/>
        <w:rPr>
          <w:sz w:val="22"/>
          <w:szCs w:val="22"/>
          <w:lang w:val="it-IT"/>
        </w:rPr>
      </w:pPr>
      <w:r w:rsidRPr="00837AC6">
        <w:rPr>
          <w:sz w:val="32"/>
          <w:szCs w:val="32"/>
          <w:lang w:val="it-IT"/>
        </w:rPr>
        <w:t>Vigésimo aniversario de las Directrices sobre el derecho a la alimentación: convocatoria para la presentación de contribuciones sobre la realización del derecho humano a una alimentación adecuada</w:t>
      </w:r>
    </w:p>
    <w:p w14:paraId="68CBC4C3" w14:textId="26F95268" w:rsidR="000A7F0C" w:rsidRPr="00BC5E32" w:rsidRDefault="000A7F0C" w:rsidP="00F37A93">
      <w:pPr>
        <w:pStyle w:val="PlainText"/>
        <w:rPr>
          <w:rFonts w:ascii="Cambria" w:eastAsia="Times New Roman" w:hAnsi="Cambria" w:cs="Arial"/>
          <w:b/>
          <w:bCs/>
          <w:noProof/>
          <w:color w:val="E36C0A" w:themeColor="accent6" w:themeShade="BF"/>
          <w:sz w:val="36"/>
          <w:szCs w:val="36"/>
          <w:lang w:val="it-IT" w:eastAsia="zh-CN"/>
        </w:rPr>
      </w:pPr>
    </w:p>
    <w:p w14:paraId="61B9F978" w14:textId="3D9119FE" w:rsidR="00837AC6" w:rsidRPr="00837AC6" w:rsidRDefault="001035C6" w:rsidP="00837AC6">
      <w:pPr>
        <w:rPr>
          <w:sz w:val="23"/>
          <w:szCs w:val="23"/>
          <w:lang w:val="es-ES"/>
        </w:rPr>
      </w:pPr>
      <w:r w:rsidRPr="00837AC6">
        <w:rPr>
          <w:noProof/>
          <w:sz w:val="23"/>
          <w:szCs w:val="23"/>
          <w:lang w:eastAsia="zh-CN"/>
        </w:rPr>
        <w:drawing>
          <wp:anchor distT="0" distB="0" distL="114300" distR="114300" simplePos="0" relativeHeight="251661312" behindDoc="0" locked="0" layoutInCell="1" allowOverlap="1" wp14:anchorId="52488B28" wp14:editId="389F3890">
            <wp:simplePos x="0" y="0"/>
            <wp:positionH relativeFrom="margin">
              <wp:align>right</wp:align>
            </wp:positionH>
            <wp:positionV relativeFrom="paragraph">
              <wp:posOffset>63500</wp:posOffset>
            </wp:positionV>
            <wp:extent cx="1925320" cy="1925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25320" cy="1925320"/>
                    </a:xfrm>
                    <a:prstGeom prst="rect">
                      <a:avLst/>
                    </a:prstGeom>
                  </pic:spPr>
                </pic:pic>
              </a:graphicData>
            </a:graphic>
            <wp14:sizeRelH relativeFrom="page">
              <wp14:pctWidth>0</wp14:pctWidth>
            </wp14:sizeRelH>
            <wp14:sizeRelV relativeFrom="page">
              <wp14:pctHeight>0</wp14:pctHeight>
            </wp14:sizeRelV>
          </wp:anchor>
        </w:drawing>
      </w:r>
      <w:r w:rsidR="00837AC6" w:rsidRPr="00837AC6">
        <w:rPr>
          <w:sz w:val="23"/>
          <w:szCs w:val="23"/>
          <w:lang w:val="es-ES"/>
        </w:rPr>
        <w:t xml:space="preserve">En 2024 se cumplen 20 años de la aprobación de las </w:t>
      </w:r>
      <w:r w:rsidR="00626CA7">
        <w:fldChar w:fldCharType="begin"/>
      </w:r>
      <w:r w:rsidR="00626CA7" w:rsidRPr="0072084B">
        <w:rPr>
          <w:lang w:val="es-ES"/>
        </w:rPr>
        <w:instrText xml:space="preserve"> HYPERLINK "https://www.fao.org/3/y7937s/y7937s.pdf" </w:instrText>
      </w:r>
      <w:r w:rsidR="00626CA7">
        <w:fldChar w:fldCharType="separate"/>
      </w:r>
      <w:r w:rsidR="00837AC6" w:rsidRPr="00837AC6">
        <w:rPr>
          <w:rStyle w:val="Hyperlink"/>
          <w:sz w:val="23"/>
          <w:szCs w:val="23"/>
          <w:lang w:val="es-ES"/>
        </w:rPr>
        <w:t>Directrices voluntarias en apoyo de la realización progresiva del derecho a una alimentación adecuada en el contexto de la seguridad alimentaria nacional</w:t>
      </w:r>
      <w:r w:rsidR="00626CA7">
        <w:rPr>
          <w:rStyle w:val="Hyperlink"/>
          <w:sz w:val="23"/>
          <w:szCs w:val="23"/>
          <w:lang w:val="es-ES"/>
        </w:rPr>
        <w:fldChar w:fldCharType="end"/>
      </w:r>
      <w:r w:rsidR="00837AC6" w:rsidRPr="00837AC6">
        <w:rPr>
          <w:sz w:val="23"/>
          <w:szCs w:val="23"/>
          <w:lang w:val="es-ES"/>
        </w:rPr>
        <w:t>.</w:t>
      </w:r>
    </w:p>
    <w:p w14:paraId="56303067" w14:textId="3C5FEC0F" w:rsidR="00926CCE" w:rsidRPr="00837AC6" w:rsidRDefault="00837AC6" w:rsidP="00837AC6">
      <w:pPr>
        <w:spacing w:after="0"/>
        <w:rPr>
          <w:rFonts w:asciiTheme="majorHAnsi" w:hAnsiTheme="majorHAnsi" w:cstheme="minorHAnsi"/>
          <w:sz w:val="23"/>
          <w:szCs w:val="23"/>
          <w:lang w:val="es-ES"/>
        </w:rPr>
      </w:pPr>
      <w:r w:rsidRPr="00837AC6">
        <w:rPr>
          <w:sz w:val="23"/>
          <w:szCs w:val="23"/>
          <w:lang w:val="es-ES"/>
        </w:rPr>
        <w:t xml:space="preserve">El </w:t>
      </w:r>
      <w:r w:rsidRPr="00837AC6">
        <w:rPr>
          <w:b/>
          <w:sz w:val="23"/>
          <w:szCs w:val="23"/>
          <w:lang w:val="es-ES"/>
        </w:rPr>
        <w:t>derecho a la alimentación</w:t>
      </w:r>
      <w:r w:rsidRPr="00837AC6">
        <w:rPr>
          <w:sz w:val="23"/>
          <w:szCs w:val="23"/>
          <w:lang w:val="es-ES"/>
        </w:rPr>
        <w:t xml:space="preserve"> es un derecho jurídicamente vinculante, garantizado en el Pacto Internacional de Derechos Económicos, Sociales y Culturales. </w:t>
      </w:r>
      <w:bookmarkStart w:id="0" w:name="_GoBack"/>
      <w:bookmarkEnd w:id="0"/>
      <w:r w:rsidRPr="00837AC6">
        <w:rPr>
          <w:sz w:val="23"/>
          <w:szCs w:val="23"/>
          <w:lang w:val="es-ES"/>
        </w:rPr>
        <w:t xml:space="preserve">Se hace efectivo cuando todas las personas tienen </w:t>
      </w:r>
      <w:r w:rsidRPr="00837AC6">
        <w:rPr>
          <w:color w:val="000000" w:themeColor="text1"/>
          <w:sz w:val="23"/>
          <w:szCs w:val="23"/>
          <w:lang w:val="es-ES"/>
        </w:rPr>
        <w:t>acceso físico y económico, en todo momento, a la alimentación adecuada o a medios para obtenerla, tal y como se establece en la Observación General 12 del Comité de Derechos Económicos, Sociales y Culturales (CDESC).</w:t>
      </w:r>
    </w:p>
    <w:p w14:paraId="11BDB8F6" w14:textId="77777777" w:rsidR="00926CCE" w:rsidRPr="00837AC6" w:rsidRDefault="00926CCE" w:rsidP="00926CCE">
      <w:pPr>
        <w:spacing w:after="0"/>
        <w:rPr>
          <w:rFonts w:asciiTheme="majorHAnsi" w:hAnsiTheme="majorHAnsi" w:cstheme="minorHAnsi"/>
          <w:sz w:val="23"/>
          <w:szCs w:val="23"/>
          <w:lang w:val="es-ES"/>
        </w:rPr>
      </w:pPr>
    </w:p>
    <w:p w14:paraId="5CA63345" w14:textId="77777777" w:rsidR="00837AC6" w:rsidRPr="00837AC6" w:rsidRDefault="00837AC6" w:rsidP="00837AC6">
      <w:pPr>
        <w:rPr>
          <w:sz w:val="23"/>
          <w:szCs w:val="23"/>
          <w:lang w:val="es-ES"/>
        </w:rPr>
      </w:pPr>
    </w:p>
    <w:p w14:paraId="083F1D89" w14:textId="177E2034" w:rsidR="00837AC6" w:rsidRPr="00837AC6" w:rsidRDefault="00837AC6" w:rsidP="00837AC6">
      <w:pPr>
        <w:rPr>
          <w:sz w:val="23"/>
          <w:szCs w:val="23"/>
          <w:lang w:val="es-ES"/>
        </w:rPr>
      </w:pPr>
      <w:r w:rsidRPr="00837AC6">
        <w:rPr>
          <w:sz w:val="23"/>
          <w:szCs w:val="23"/>
          <w:lang w:val="es-ES"/>
        </w:rPr>
        <w:t xml:space="preserve">Las </w:t>
      </w:r>
      <w:r w:rsidRPr="00837AC6">
        <w:rPr>
          <w:b/>
          <w:bCs/>
          <w:sz w:val="23"/>
          <w:szCs w:val="23"/>
          <w:lang w:val="es-ES"/>
        </w:rPr>
        <w:t>Directrices sobre el derecho a la alimentación</w:t>
      </w:r>
      <w:r w:rsidRPr="00837AC6">
        <w:rPr>
          <w:sz w:val="23"/>
          <w:szCs w:val="23"/>
          <w:lang w:val="es-ES"/>
        </w:rPr>
        <w:t xml:space="preserve"> proporcionan orientación práctica a los Estados sobre cómo hacer efectivo el derecho a una alimentación adecuada mediante la elaboración de estrategias, programas, políticas y legislación. Fueron aprobadas por el Comité de Seguridad Alimentaria Mundial (CSA), así como por el Consejo de la FAO en noviembre de 2004, tras dos años de negociaciones intergubernamentales y la participación de múltiples partes interesadas. </w:t>
      </w:r>
    </w:p>
    <w:p w14:paraId="785CC777" w14:textId="77777777" w:rsidR="00837AC6" w:rsidRPr="00837AC6" w:rsidRDefault="00837AC6" w:rsidP="00837AC6">
      <w:pPr>
        <w:rPr>
          <w:sz w:val="23"/>
          <w:szCs w:val="23"/>
          <w:lang w:val="es-ES"/>
        </w:rPr>
      </w:pPr>
      <w:r w:rsidRPr="00837AC6">
        <w:rPr>
          <w:sz w:val="23"/>
          <w:szCs w:val="23"/>
          <w:lang w:val="es-ES"/>
        </w:rPr>
        <w:t xml:space="preserve">Los gobiernos tienen la obligación legal de garantizar el derecho a la alimentación. Y todas las personas tienen derecho a disfrutarlo como un derecho universal, sin discriminación alguna. Además, todos nosotros —ya se trate de individuos o colectivos, e incluidos funcionarios gubernamentales, legisladores, comunidades locales, organizaciones no gubernamentales, académicos, organizaciones de consumidores, grupos de jóvenes, pueblos indígenas, pequeños agricultores, organizaciones de mujeres, organizaciones de la sociedad civil, así como el sector privado— somos actores cruciales en la realización del derecho a una alimentación adecuada. </w:t>
      </w:r>
    </w:p>
    <w:p w14:paraId="1A5D1100" w14:textId="77777777" w:rsidR="00837AC6" w:rsidRPr="00837AC6" w:rsidRDefault="00837AC6" w:rsidP="00837AC6">
      <w:pPr>
        <w:rPr>
          <w:sz w:val="23"/>
          <w:szCs w:val="23"/>
          <w:lang w:val="es-ES"/>
        </w:rPr>
      </w:pPr>
      <w:r w:rsidRPr="00837AC6">
        <w:rPr>
          <w:sz w:val="23"/>
          <w:szCs w:val="23"/>
          <w:lang w:val="es-ES"/>
        </w:rPr>
        <w:t xml:space="preserve">Las Directrices sobre el derecho a la alimentación anticiparon la urgencia de los desafíos mundiales más acuciantes a los que se enfrentan los países hoy en día para lograr un desarrollo sostenible (p. </w:t>
      </w:r>
      <w:r w:rsidRPr="00837AC6">
        <w:rPr>
          <w:sz w:val="23"/>
          <w:szCs w:val="23"/>
          <w:lang w:val="es-ES"/>
        </w:rPr>
        <w:lastRenderedPageBreak/>
        <w:t xml:space="preserve">ej. conflictos, desigualdades, enfermedades, cambio climático y pérdida de biodiversidad). En un mundo complejo, con retos que cambian y son cada vez mayores, las Directrices resultan más pertinentes que nunca. Nos recuerdan la importancia de la cooperación y la colaboración internacionales para lograr el bien público colectivo de la erradicación del hambre, la malnutrición en todas sus formas, la pobreza y la desigualdad. Su plena implementación contribuye a nuestros esfuerzos por cumplir la </w:t>
      </w:r>
      <w:r w:rsidR="00626CA7">
        <w:fldChar w:fldCharType="begin"/>
      </w:r>
      <w:r w:rsidR="00626CA7" w:rsidRPr="0072084B">
        <w:rPr>
          <w:lang w:val="es-ES"/>
        </w:rPr>
        <w:instrText xml:space="preserve"> HYPERLINK "https://sdgs.un.org/es/2030agenda" \h </w:instrText>
      </w:r>
      <w:r w:rsidR="00626CA7">
        <w:fldChar w:fldCharType="separate"/>
      </w:r>
      <w:r w:rsidRPr="00837AC6">
        <w:rPr>
          <w:rStyle w:val="Hyperlink"/>
          <w:sz w:val="23"/>
          <w:szCs w:val="23"/>
          <w:lang w:val="es-ES"/>
        </w:rPr>
        <w:t>Agenda 2030 para el Desarrollo Sostenible</w:t>
      </w:r>
      <w:r w:rsidR="00626CA7">
        <w:rPr>
          <w:rStyle w:val="Hyperlink"/>
          <w:sz w:val="23"/>
          <w:szCs w:val="23"/>
          <w:lang w:val="es-ES"/>
        </w:rPr>
        <w:fldChar w:fldCharType="end"/>
      </w:r>
      <w:r w:rsidRPr="00837AC6">
        <w:rPr>
          <w:sz w:val="23"/>
          <w:szCs w:val="23"/>
          <w:lang w:val="es-ES"/>
        </w:rPr>
        <w:t xml:space="preserve"> y sus </w:t>
      </w:r>
      <w:r w:rsidR="00626CA7">
        <w:fldChar w:fldCharType="begin"/>
      </w:r>
      <w:r w:rsidR="00626CA7" w:rsidRPr="0072084B">
        <w:rPr>
          <w:lang w:val="es-ES"/>
        </w:rPr>
        <w:instrText xml:space="preserve"> HYPERLINK "https://sdgs.un.org/es/goals" \h </w:instrText>
      </w:r>
      <w:r w:rsidR="00626CA7">
        <w:fldChar w:fldCharType="separate"/>
      </w:r>
      <w:r w:rsidRPr="00837AC6">
        <w:rPr>
          <w:rStyle w:val="Hyperlink"/>
          <w:sz w:val="23"/>
          <w:szCs w:val="23"/>
          <w:lang w:val="es-ES"/>
        </w:rPr>
        <w:t>Objetivos de Desarrollo Sostenible</w:t>
      </w:r>
      <w:r w:rsidR="00626CA7">
        <w:rPr>
          <w:rStyle w:val="Hyperlink"/>
          <w:sz w:val="23"/>
          <w:szCs w:val="23"/>
          <w:lang w:val="es-ES"/>
        </w:rPr>
        <w:fldChar w:fldCharType="end"/>
      </w:r>
      <w:r w:rsidRPr="00837AC6">
        <w:rPr>
          <w:sz w:val="23"/>
          <w:szCs w:val="23"/>
          <w:lang w:val="es-ES"/>
        </w:rPr>
        <w:t xml:space="preserve"> (ODS), basados a su vez en los derechos humanos. </w:t>
      </w:r>
    </w:p>
    <w:p w14:paraId="0CCCBD9D" w14:textId="7F61EEB5" w:rsidR="00926CCE" w:rsidRPr="00837AC6" w:rsidRDefault="00837AC6" w:rsidP="00837AC6">
      <w:pPr>
        <w:spacing w:after="0"/>
        <w:rPr>
          <w:rFonts w:asciiTheme="majorHAnsi" w:hAnsiTheme="majorHAnsi" w:cstheme="minorHAnsi"/>
          <w:sz w:val="23"/>
          <w:szCs w:val="23"/>
          <w:lang w:val="es-ES"/>
        </w:rPr>
      </w:pPr>
      <w:r w:rsidRPr="00837AC6">
        <w:rPr>
          <w:sz w:val="23"/>
          <w:szCs w:val="23"/>
          <w:lang w:val="es-ES"/>
        </w:rPr>
        <w:t>Los últimos cinco años han sido particularmente difíciles debido a la pandemia de la enfermedad por coronavirus (COVID-19), el aumento del hambre y la malnutrición en todas sus formas, el incremento de las desigualdades y la crisis asociada al aumento del coste de la vida. Los gobiernos y otros actores han implementado respuestas innovadoras en todo el mundo. Veinte años después, ha llegado el momento de hacer balance de los avances realizados y examinar las conclusiones principales.</w:t>
      </w:r>
    </w:p>
    <w:p w14:paraId="2592E0F7" w14:textId="77777777" w:rsidR="00926CCE" w:rsidRPr="00837AC6" w:rsidRDefault="00926CCE" w:rsidP="00926CCE">
      <w:pPr>
        <w:spacing w:after="0"/>
        <w:rPr>
          <w:rFonts w:asciiTheme="majorHAnsi" w:hAnsiTheme="majorHAnsi" w:cstheme="minorHAnsi"/>
          <w:sz w:val="23"/>
          <w:szCs w:val="23"/>
          <w:lang w:val="es-ES"/>
        </w:rPr>
      </w:pPr>
    </w:p>
    <w:p w14:paraId="0ECD2EA9" w14:textId="523A70E0" w:rsidR="00926CCE" w:rsidRPr="00837AC6" w:rsidRDefault="00837AC6" w:rsidP="00926CCE">
      <w:pPr>
        <w:spacing w:after="0"/>
        <w:rPr>
          <w:rFonts w:asciiTheme="majorHAnsi" w:hAnsiTheme="majorHAnsi" w:cstheme="minorHAnsi"/>
          <w:b/>
          <w:bCs/>
          <w:i/>
          <w:iCs/>
          <w:color w:val="E36C0A" w:themeColor="accent6" w:themeShade="BF"/>
          <w:sz w:val="23"/>
          <w:szCs w:val="23"/>
          <w:lang w:val="es-ES"/>
        </w:rPr>
      </w:pPr>
      <w:r w:rsidRPr="00837AC6">
        <w:rPr>
          <w:rFonts w:asciiTheme="majorHAnsi" w:hAnsiTheme="majorHAnsi"/>
          <w:b/>
          <w:i/>
          <w:iCs/>
          <w:color w:val="E36C0A" w:themeColor="accent6" w:themeShade="BF"/>
          <w:sz w:val="23"/>
          <w:szCs w:val="23"/>
          <w:lang w:val="es-ES"/>
        </w:rPr>
        <w:t>¡Exprese su opinión donde se considera importante!</w:t>
      </w:r>
    </w:p>
    <w:p w14:paraId="7083D572" w14:textId="77777777" w:rsidR="00926CCE" w:rsidRPr="00837AC6" w:rsidRDefault="00926CCE" w:rsidP="00926CCE">
      <w:pPr>
        <w:spacing w:after="0"/>
        <w:rPr>
          <w:rFonts w:asciiTheme="majorHAnsi" w:hAnsiTheme="majorHAnsi" w:cstheme="minorHAnsi"/>
          <w:sz w:val="23"/>
          <w:szCs w:val="23"/>
          <w:lang w:val="es-ES"/>
        </w:rPr>
      </w:pPr>
    </w:p>
    <w:p w14:paraId="39B5C47F" w14:textId="77777777" w:rsidR="00837AC6" w:rsidRPr="00837AC6" w:rsidRDefault="00837AC6" w:rsidP="00837AC6">
      <w:pPr>
        <w:rPr>
          <w:sz w:val="23"/>
          <w:szCs w:val="23"/>
          <w:lang w:val="es-ES"/>
        </w:rPr>
      </w:pPr>
      <w:r w:rsidRPr="00837AC6">
        <w:rPr>
          <w:sz w:val="23"/>
          <w:szCs w:val="23"/>
          <w:lang w:val="es-ES"/>
        </w:rPr>
        <w:t>De cara al vigésimo aniversario de las Directrices sobre el derecho a la alimentación, los resultados de esta convocatoria contribuirán a informar sobre los esfuerzos realizados para hacer efectivo el derecho a una alimentación adecuada a nivel local, nacional, regional o mundial, y constituirán una oportunidad importante para que los países y su población hagan balance.</w:t>
      </w:r>
    </w:p>
    <w:p w14:paraId="0D40038C" w14:textId="77777777" w:rsidR="00837AC6" w:rsidRPr="00837AC6" w:rsidRDefault="00837AC6" w:rsidP="00837AC6">
      <w:pPr>
        <w:rPr>
          <w:b/>
          <w:bCs/>
          <w:i/>
          <w:iCs/>
          <w:sz w:val="23"/>
          <w:szCs w:val="23"/>
          <w:u w:val="single"/>
          <w:lang w:val="es-ES"/>
        </w:rPr>
      </w:pPr>
      <w:r w:rsidRPr="00837AC6">
        <w:rPr>
          <w:sz w:val="23"/>
          <w:szCs w:val="23"/>
          <w:lang w:val="es-ES"/>
        </w:rPr>
        <w:t>El Equipo del Derecho a la Alimentación de la FAO y el Comité de Seguridad Alimentaria Mundial (CSA) invitan a las partes interesadas a:</w:t>
      </w:r>
    </w:p>
    <w:p w14:paraId="1E760F3B" w14:textId="77777777" w:rsidR="00837AC6" w:rsidRPr="00837AC6" w:rsidRDefault="00837AC6" w:rsidP="00926CCE">
      <w:pPr>
        <w:spacing w:after="0"/>
        <w:rPr>
          <w:rFonts w:asciiTheme="majorHAnsi" w:hAnsiTheme="majorHAnsi"/>
          <w:sz w:val="23"/>
          <w:szCs w:val="23"/>
          <w:lang w:val="es-ES"/>
        </w:rPr>
      </w:pPr>
    </w:p>
    <w:tbl>
      <w:tblPr>
        <w:tblStyle w:val="TableGrid"/>
        <w:tblW w:w="0" w:type="auto"/>
        <w:shd w:val="clear" w:color="auto" w:fill="DAEEF3" w:themeFill="accent5" w:themeFillTint="33"/>
        <w:tblLook w:val="04A0" w:firstRow="1" w:lastRow="0" w:firstColumn="1" w:lastColumn="0" w:noHBand="0" w:noVBand="1"/>
      </w:tblPr>
      <w:tblGrid>
        <w:gridCol w:w="1129"/>
        <w:gridCol w:w="8500"/>
      </w:tblGrid>
      <w:tr w:rsidR="00AA1590" w:rsidRPr="0072084B" w14:paraId="46E95470" w14:textId="77777777" w:rsidTr="00C245A1">
        <w:tc>
          <w:tcPr>
            <w:tcW w:w="1129" w:type="dxa"/>
            <w:shd w:val="clear" w:color="auto" w:fill="DAEEF3" w:themeFill="accent5" w:themeFillTint="33"/>
          </w:tcPr>
          <w:p w14:paraId="7C504D03" w14:textId="77777777" w:rsidR="00AA1590" w:rsidRPr="00AA1590" w:rsidRDefault="00AA1590" w:rsidP="00C245A1">
            <w:pPr>
              <w:spacing w:before="120"/>
              <w:rPr>
                <w:sz w:val="23"/>
                <w:szCs w:val="23"/>
              </w:rPr>
            </w:pPr>
            <w:r w:rsidRPr="00AA1590">
              <w:rPr>
                <w:sz w:val="23"/>
                <w:szCs w:val="23"/>
              </w:rPr>
              <w:t>1.</w:t>
            </w:r>
          </w:p>
        </w:tc>
        <w:tc>
          <w:tcPr>
            <w:tcW w:w="8500" w:type="dxa"/>
            <w:shd w:val="clear" w:color="auto" w:fill="DAEEF3" w:themeFill="accent5" w:themeFillTint="33"/>
          </w:tcPr>
          <w:p w14:paraId="2FA77968" w14:textId="32153985" w:rsidR="00AA1590" w:rsidRPr="00AA1590" w:rsidRDefault="00AA1590" w:rsidP="00C245A1">
            <w:pPr>
              <w:spacing w:before="120"/>
              <w:rPr>
                <w:b/>
                <w:bCs/>
                <w:i/>
                <w:iCs/>
                <w:sz w:val="23"/>
                <w:szCs w:val="23"/>
                <w:u w:val="single"/>
                <w:lang w:val="es-ES"/>
              </w:rPr>
            </w:pPr>
            <w:r w:rsidRPr="00AA1590">
              <w:rPr>
                <w:sz w:val="23"/>
                <w:szCs w:val="23"/>
                <w:lang w:val="es-ES"/>
              </w:rPr>
              <w:t xml:space="preserve">Compartir sus </w:t>
            </w:r>
            <w:r w:rsidRPr="00AA1590">
              <w:rPr>
                <w:b/>
                <w:bCs/>
                <w:sz w:val="23"/>
                <w:szCs w:val="23"/>
                <w:lang w:val="es-ES"/>
              </w:rPr>
              <w:t>experiencias</w:t>
            </w:r>
            <w:r w:rsidRPr="00AA1590">
              <w:rPr>
                <w:sz w:val="23"/>
                <w:szCs w:val="23"/>
                <w:lang w:val="es-ES"/>
              </w:rPr>
              <w:t xml:space="preserve"> y </w:t>
            </w:r>
            <w:r w:rsidRPr="00AA1590">
              <w:rPr>
                <w:b/>
                <w:bCs/>
                <w:sz w:val="23"/>
                <w:szCs w:val="23"/>
                <w:lang w:val="es-ES"/>
              </w:rPr>
              <w:t>buenas prácticas</w:t>
            </w:r>
            <w:r w:rsidRPr="00AA1590">
              <w:rPr>
                <w:sz w:val="23"/>
                <w:szCs w:val="23"/>
                <w:lang w:val="es-ES"/>
              </w:rPr>
              <w:t xml:space="preserve"> sobre la realización del derecho a la alimentación para todas las personas, en todo momento.</w:t>
            </w:r>
          </w:p>
        </w:tc>
      </w:tr>
      <w:tr w:rsidR="00AA1590" w:rsidRPr="0072084B" w14:paraId="2A01BEE9" w14:textId="77777777" w:rsidTr="00C245A1">
        <w:tc>
          <w:tcPr>
            <w:tcW w:w="1129" w:type="dxa"/>
            <w:shd w:val="clear" w:color="auto" w:fill="DAEEF3" w:themeFill="accent5" w:themeFillTint="33"/>
          </w:tcPr>
          <w:p w14:paraId="0059155F" w14:textId="77777777" w:rsidR="00AA1590" w:rsidRPr="00AA1590" w:rsidRDefault="00AA1590" w:rsidP="00C245A1">
            <w:pPr>
              <w:spacing w:before="120"/>
              <w:rPr>
                <w:sz w:val="23"/>
                <w:szCs w:val="23"/>
              </w:rPr>
            </w:pPr>
            <w:r w:rsidRPr="00AA1590">
              <w:rPr>
                <w:sz w:val="23"/>
                <w:szCs w:val="23"/>
              </w:rPr>
              <w:t>2.</w:t>
            </w:r>
          </w:p>
        </w:tc>
        <w:tc>
          <w:tcPr>
            <w:tcW w:w="8500" w:type="dxa"/>
            <w:shd w:val="clear" w:color="auto" w:fill="DAEEF3" w:themeFill="accent5" w:themeFillTint="33"/>
          </w:tcPr>
          <w:p w14:paraId="74959854" w14:textId="03D5D740" w:rsidR="00AA1590" w:rsidRPr="00AA1590" w:rsidRDefault="00AA1590" w:rsidP="00C245A1">
            <w:pPr>
              <w:spacing w:before="120"/>
              <w:rPr>
                <w:b/>
                <w:bCs/>
                <w:i/>
                <w:iCs/>
                <w:sz w:val="23"/>
                <w:szCs w:val="23"/>
                <w:u w:val="single"/>
                <w:lang w:val="es-ES"/>
              </w:rPr>
            </w:pPr>
            <w:r w:rsidRPr="00AA1590">
              <w:rPr>
                <w:sz w:val="23"/>
                <w:szCs w:val="23"/>
                <w:lang w:val="es-ES"/>
              </w:rPr>
              <w:t xml:space="preserve">Identificar las </w:t>
            </w:r>
            <w:r w:rsidRPr="00AA1590">
              <w:rPr>
                <w:b/>
                <w:bCs/>
                <w:sz w:val="23"/>
                <w:szCs w:val="23"/>
                <w:lang w:val="es-ES"/>
              </w:rPr>
              <w:t>carencias,</w:t>
            </w:r>
            <w:r w:rsidRPr="00AA1590">
              <w:rPr>
                <w:sz w:val="23"/>
                <w:szCs w:val="23"/>
                <w:lang w:val="es-ES"/>
              </w:rPr>
              <w:t xml:space="preserve"> </w:t>
            </w:r>
            <w:r w:rsidRPr="00AA1590">
              <w:rPr>
                <w:b/>
                <w:bCs/>
                <w:sz w:val="23"/>
                <w:szCs w:val="23"/>
                <w:lang w:val="es-ES"/>
              </w:rPr>
              <w:t>limitaciones</w:t>
            </w:r>
            <w:r w:rsidRPr="00AA1590">
              <w:rPr>
                <w:sz w:val="23"/>
                <w:szCs w:val="23"/>
                <w:lang w:val="es-ES"/>
              </w:rPr>
              <w:t xml:space="preserve"> y </w:t>
            </w:r>
            <w:r w:rsidRPr="00AA1590">
              <w:rPr>
                <w:b/>
                <w:bCs/>
                <w:sz w:val="23"/>
                <w:szCs w:val="23"/>
                <w:lang w:val="es-ES"/>
              </w:rPr>
              <w:t>desafíos</w:t>
            </w:r>
            <w:r w:rsidRPr="00AA1590">
              <w:rPr>
                <w:sz w:val="23"/>
                <w:szCs w:val="23"/>
                <w:lang w:val="es-ES"/>
              </w:rPr>
              <w:t xml:space="preserve"> en la realización del derecho a la alimentación o en la implementación de las Directrices sobre el derecho a la alimentación.</w:t>
            </w:r>
          </w:p>
        </w:tc>
      </w:tr>
      <w:tr w:rsidR="00AA1590" w:rsidRPr="0072084B" w14:paraId="1047556C" w14:textId="77777777" w:rsidTr="00C245A1">
        <w:tc>
          <w:tcPr>
            <w:tcW w:w="1129" w:type="dxa"/>
            <w:shd w:val="clear" w:color="auto" w:fill="DAEEF3" w:themeFill="accent5" w:themeFillTint="33"/>
          </w:tcPr>
          <w:p w14:paraId="2005C431" w14:textId="77777777" w:rsidR="00AA1590" w:rsidRPr="00AA1590" w:rsidRDefault="00AA1590" w:rsidP="00C245A1">
            <w:pPr>
              <w:spacing w:before="120"/>
              <w:rPr>
                <w:sz w:val="23"/>
                <w:szCs w:val="23"/>
              </w:rPr>
            </w:pPr>
            <w:r w:rsidRPr="00AA1590">
              <w:rPr>
                <w:sz w:val="23"/>
                <w:szCs w:val="23"/>
              </w:rPr>
              <w:t>3.</w:t>
            </w:r>
          </w:p>
        </w:tc>
        <w:tc>
          <w:tcPr>
            <w:tcW w:w="8500" w:type="dxa"/>
            <w:shd w:val="clear" w:color="auto" w:fill="DAEEF3" w:themeFill="accent5" w:themeFillTint="33"/>
          </w:tcPr>
          <w:p w14:paraId="18445396" w14:textId="4F5D6E2D" w:rsidR="00AA1590" w:rsidRPr="00AA1590" w:rsidRDefault="00AA1590" w:rsidP="00C245A1">
            <w:pPr>
              <w:spacing w:before="120"/>
              <w:rPr>
                <w:b/>
                <w:bCs/>
                <w:i/>
                <w:iCs/>
                <w:sz w:val="23"/>
                <w:szCs w:val="23"/>
                <w:u w:val="single"/>
                <w:lang w:val="es-ES"/>
              </w:rPr>
            </w:pPr>
            <w:r w:rsidRPr="00AA1590">
              <w:rPr>
                <w:sz w:val="23"/>
                <w:szCs w:val="23"/>
                <w:lang w:val="es-ES"/>
              </w:rPr>
              <w:t xml:space="preserve">Compartir las </w:t>
            </w:r>
            <w:r w:rsidRPr="00AA1590">
              <w:rPr>
                <w:b/>
                <w:bCs/>
                <w:sz w:val="23"/>
                <w:szCs w:val="23"/>
                <w:lang w:val="es-ES"/>
              </w:rPr>
              <w:t>enseñanzas adquiridas</w:t>
            </w:r>
            <w:r w:rsidRPr="00AA1590">
              <w:rPr>
                <w:sz w:val="23"/>
                <w:szCs w:val="23"/>
                <w:lang w:val="es-ES"/>
              </w:rPr>
              <w:t xml:space="preserve"> y </w:t>
            </w:r>
            <w:r w:rsidRPr="00AA1590">
              <w:rPr>
                <w:b/>
                <w:bCs/>
                <w:sz w:val="23"/>
                <w:szCs w:val="23"/>
                <w:lang w:val="es-ES"/>
              </w:rPr>
              <w:t>sugerir recomendaciones</w:t>
            </w:r>
            <w:r w:rsidRPr="00AA1590">
              <w:rPr>
                <w:sz w:val="23"/>
                <w:szCs w:val="23"/>
                <w:lang w:val="es-ES"/>
              </w:rPr>
              <w:t xml:space="preserve"> para mejorar la realización del derecho a una alimentación adecuada.</w:t>
            </w:r>
          </w:p>
        </w:tc>
      </w:tr>
      <w:tr w:rsidR="00AA1590" w:rsidRPr="0072084B" w14:paraId="1E2585AA" w14:textId="77777777" w:rsidTr="00C245A1">
        <w:tc>
          <w:tcPr>
            <w:tcW w:w="1129" w:type="dxa"/>
            <w:shd w:val="clear" w:color="auto" w:fill="DAEEF3" w:themeFill="accent5" w:themeFillTint="33"/>
          </w:tcPr>
          <w:p w14:paraId="1BA4BEFE" w14:textId="77777777" w:rsidR="00AA1590" w:rsidRPr="00AA1590" w:rsidRDefault="00AA1590" w:rsidP="00C245A1">
            <w:pPr>
              <w:spacing w:before="120"/>
              <w:rPr>
                <w:sz w:val="23"/>
                <w:szCs w:val="23"/>
              </w:rPr>
            </w:pPr>
            <w:r w:rsidRPr="00AA1590">
              <w:rPr>
                <w:sz w:val="23"/>
                <w:szCs w:val="23"/>
              </w:rPr>
              <w:t>4.</w:t>
            </w:r>
          </w:p>
        </w:tc>
        <w:tc>
          <w:tcPr>
            <w:tcW w:w="8500" w:type="dxa"/>
            <w:shd w:val="clear" w:color="auto" w:fill="DAEEF3" w:themeFill="accent5" w:themeFillTint="33"/>
          </w:tcPr>
          <w:p w14:paraId="1A3FD6F0" w14:textId="57B76F5B" w:rsidR="00AA1590" w:rsidRPr="00AA1590" w:rsidRDefault="00AA1590" w:rsidP="00C245A1">
            <w:pPr>
              <w:spacing w:before="120"/>
              <w:rPr>
                <w:b/>
                <w:bCs/>
                <w:i/>
                <w:iCs/>
                <w:sz w:val="23"/>
                <w:szCs w:val="23"/>
                <w:u w:val="single"/>
                <w:lang w:val="es-ES"/>
              </w:rPr>
            </w:pPr>
            <w:r w:rsidRPr="00AA1590">
              <w:rPr>
                <w:sz w:val="23"/>
                <w:szCs w:val="23"/>
                <w:lang w:val="es-ES"/>
              </w:rPr>
              <w:t xml:space="preserve">Próximos pasos: ¿hay algún </w:t>
            </w:r>
            <w:r w:rsidRPr="00AA1590">
              <w:rPr>
                <w:b/>
                <w:bCs/>
                <w:sz w:val="23"/>
                <w:szCs w:val="23"/>
                <w:lang w:val="es-ES"/>
              </w:rPr>
              <w:t>plan concreto</w:t>
            </w:r>
            <w:r w:rsidRPr="00AA1590">
              <w:rPr>
                <w:sz w:val="23"/>
                <w:szCs w:val="23"/>
                <w:lang w:val="es-ES"/>
              </w:rPr>
              <w:t xml:space="preserve"> para utilizar y aplicar las Directrices (en el futuro)?</w:t>
            </w:r>
          </w:p>
        </w:tc>
      </w:tr>
    </w:tbl>
    <w:p w14:paraId="6E95701A" w14:textId="77777777" w:rsidR="00837AC6" w:rsidRPr="00AA1590" w:rsidRDefault="00837AC6" w:rsidP="00926CCE">
      <w:pPr>
        <w:spacing w:after="0"/>
        <w:rPr>
          <w:rFonts w:asciiTheme="majorHAnsi" w:hAnsiTheme="majorHAnsi"/>
          <w:sz w:val="23"/>
          <w:szCs w:val="23"/>
          <w:lang w:val="es-ES"/>
        </w:rPr>
      </w:pPr>
    </w:p>
    <w:p w14:paraId="099DE8CD" w14:textId="77777777" w:rsidR="00837AC6" w:rsidRPr="00AA1590" w:rsidRDefault="00837AC6" w:rsidP="00926CCE">
      <w:pPr>
        <w:spacing w:after="0"/>
        <w:rPr>
          <w:rFonts w:asciiTheme="majorHAnsi" w:hAnsiTheme="majorHAnsi"/>
          <w:sz w:val="23"/>
          <w:szCs w:val="23"/>
          <w:lang w:val="es-ES"/>
        </w:rPr>
      </w:pPr>
    </w:p>
    <w:p w14:paraId="3D395168" w14:textId="1B9161A8" w:rsidR="00926CCE" w:rsidRPr="001465F3" w:rsidRDefault="00724428" w:rsidP="00926CCE">
      <w:pPr>
        <w:pStyle w:val="NewPara"/>
        <w:numPr>
          <w:ilvl w:val="0"/>
          <w:numId w:val="0"/>
        </w:numPr>
        <w:rPr>
          <w:rFonts w:asciiTheme="majorHAnsi" w:hAnsiTheme="majorHAnsi" w:cstheme="minorHAnsi"/>
          <w:b/>
          <w:bCs/>
          <w:sz w:val="23"/>
          <w:szCs w:val="23"/>
          <w:lang w:val="es-ES"/>
        </w:rPr>
      </w:pPr>
      <w:r w:rsidRPr="001465F3">
        <w:rPr>
          <w:rFonts w:asciiTheme="majorHAnsi" w:hAnsiTheme="majorHAnsi"/>
          <w:b/>
          <w:sz w:val="23"/>
          <w:szCs w:val="23"/>
          <w:lang w:val="es-ES"/>
        </w:rPr>
        <w:t>Cómo participar en esta convocatoria</w:t>
      </w:r>
    </w:p>
    <w:p w14:paraId="0623F4F3" w14:textId="35E19F32" w:rsidR="00724428" w:rsidRPr="001465F3" w:rsidRDefault="00724428" w:rsidP="00724428">
      <w:pPr>
        <w:rPr>
          <w:b/>
          <w:bCs/>
          <w:sz w:val="23"/>
          <w:szCs w:val="23"/>
          <w:lang w:val="es-ES"/>
        </w:rPr>
      </w:pPr>
      <w:r w:rsidRPr="001465F3">
        <w:rPr>
          <w:sz w:val="23"/>
          <w:szCs w:val="23"/>
          <w:lang w:val="es-ES"/>
        </w:rPr>
        <w:t xml:space="preserve">Comparta su(s) experiencia(s) utilizando el siguiente formulario: </w:t>
      </w:r>
      <w:hyperlink r:id="rId9" w:history="1">
        <w:r w:rsidRPr="0072084B">
          <w:rPr>
            <w:rStyle w:val="Hyperlink"/>
            <w:b/>
            <w:sz w:val="23"/>
            <w:szCs w:val="23"/>
            <w:lang w:val="es-ES"/>
          </w:rPr>
          <w:t>Enla</w:t>
        </w:r>
        <w:r w:rsidRPr="0072084B">
          <w:rPr>
            <w:rStyle w:val="Hyperlink"/>
            <w:b/>
            <w:sz w:val="23"/>
            <w:szCs w:val="23"/>
            <w:lang w:val="es-ES"/>
          </w:rPr>
          <w:t>c</w:t>
        </w:r>
        <w:r w:rsidRPr="0072084B">
          <w:rPr>
            <w:rStyle w:val="Hyperlink"/>
            <w:b/>
            <w:sz w:val="23"/>
            <w:szCs w:val="23"/>
            <w:lang w:val="es-ES"/>
          </w:rPr>
          <w:t>e al formulario</w:t>
        </w:r>
      </w:hyperlink>
    </w:p>
    <w:p w14:paraId="2C78C2F4" w14:textId="2059BDE2" w:rsidR="00724428" w:rsidRPr="001465F3" w:rsidRDefault="00724428" w:rsidP="000036CA">
      <w:pPr>
        <w:rPr>
          <w:sz w:val="23"/>
          <w:szCs w:val="23"/>
          <w:lang w:val="es-ES"/>
        </w:rPr>
      </w:pPr>
      <w:r w:rsidRPr="001465F3">
        <w:rPr>
          <w:sz w:val="23"/>
          <w:szCs w:val="23"/>
          <w:lang w:val="es-ES"/>
        </w:rPr>
        <w:t xml:space="preserve">Las contribuciones se pueden redactar en cualquiera de los seis idiomas de las Naciones Unidas (árabe, chino, español, francés, inglés o ruso). Deben tener una extensión máxima de 1 000 palabras. Puede </w:t>
      </w:r>
      <w:r w:rsidR="000036CA">
        <w:rPr>
          <w:sz w:val="23"/>
          <w:szCs w:val="23"/>
          <w:lang w:val="es-ES"/>
        </w:rPr>
        <w:t>subir</w:t>
      </w:r>
      <w:r w:rsidRPr="001465F3">
        <w:rPr>
          <w:sz w:val="23"/>
          <w:szCs w:val="23"/>
          <w:lang w:val="es-ES"/>
        </w:rPr>
        <w:t xml:space="preserve"> el formulario que se incluye a continuación o enviarlo por electrónico a </w:t>
      </w:r>
      <w:r w:rsidR="00626CA7">
        <w:fldChar w:fldCharType="begin"/>
      </w:r>
      <w:r w:rsidR="00626CA7" w:rsidRPr="0072084B">
        <w:rPr>
          <w:lang w:val="es-ES"/>
        </w:rPr>
        <w:instrText xml:space="preserve"> HYPERLINK "mailto:fsn-moderator@fao.org" \h </w:instrText>
      </w:r>
      <w:r w:rsidR="00626CA7">
        <w:fldChar w:fldCharType="separate"/>
      </w:r>
      <w:r w:rsidRPr="001465F3">
        <w:rPr>
          <w:rStyle w:val="Hyperlink"/>
          <w:sz w:val="23"/>
          <w:szCs w:val="23"/>
          <w:lang w:val="es-ES"/>
        </w:rPr>
        <w:t>fsn-moderator@fao.org</w:t>
      </w:r>
      <w:r w:rsidR="00626CA7">
        <w:rPr>
          <w:rStyle w:val="Hyperlink"/>
          <w:sz w:val="23"/>
          <w:szCs w:val="23"/>
          <w:lang w:val="es-ES"/>
        </w:rPr>
        <w:fldChar w:fldCharType="end"/>
      </w:r>
      <w:r w:rsidRPr="001465F3">
        <w:rPr>
          <w:sz w:val="23"/>
          <w:szCs w:val="23"/>
          <w:lang w:val="es-ES"/>
        </w:rPr>
        <w:t xml:space="preserve">. </w:t>
      </w:r>
    </w:p>
    <w:p w14:paraId="2FDBD8B8" w14:textId="77777777" w:rsidR="00724428" w:rsidRPr="001465F3" w:rsidRDefault="00724428" w:rsidP="00724428">
      <w:pPr>
        <w:rPr>
          <w:b/>
          <w:bCs/>
          <w:sz w:val="23"/>
          <w:szCs w:val="23"/>
          <w:lang w:val="es-ES"/>
        </w:rPr>
      </w:pPr>
    </w:p>
    <w:p w14:paraId="2015C8A9" w14:textId="77777777" w:rsidR="00724428" w:rsidRPr="001465F3" w:rsidRDefault="00724428" w:rsidP="00724428">
      <w:pPr>
        <w:rPr>
          <w:b/>
          <w:color w:val="E36C0A" w:themeColor="accent6" w:themeShade="BF"/>
          <w:sz w:val="23"/>
          <w:szCs w:val="23"/>
          <w:lang w:val="es-ES"/>
        </w:rPr>
      </w:pPr>
      <w:r w:rsidRPr="001465F3">
        <w:rPr>
          <w:b/>
          <w:color w:val="E36C0A" w:themeColor="accent6" w:themeShade="BF"/>
          <w:sz w:val="23"/>
          <w:szCs w:val="23"/>
          <w:lang w:val="es-ES"/>
        </w:rPr>
        <w:t>La convocatoria estará abierta hasta el 23 de junio de 2023.</w:t>
      </w:r>
    </w:p>
    <w:p w14:paraId="7EBFCF9C" w14:textId="77777777" w:rsidR="00724428" w:rsidRPr="001465F3" w:rsidRDefault="00724428" w:rsidP="00724428">
      <w:pPr>
        <w:rPr>
          <w:sz w:val="23"/>
          <w:szCs w:val="23"/>
          <w:lang w:val="es-ES"/>
        </w:rPr>
      </w:pPr>
      <w:r w:rsidRPr="001465F3">
        <w:rPr>
          <w:sz w:val="23"/>
          <w:szCs w:val="23"/>
          <w:lang w:val="es-ES"/>
        </w:rPr>
        <w:lastRenderedPageBreak/>
        <w:t>Les agradecemos sus valiosas contribuciones y esperamos aprender de sus experiencias.</w:t>
      </w:r>
    </w:p>
    <w:p w14:paraId="72C55952" w14:textId="2EB8E488" w:rsidR="00926CCE" w:rsidRPr="001465F3" w:rsidRDefault="00926CCE" w:rsidP="00926CCE">
      <w:pPr>
        <w:spacing w:after="0"/>
        <w:rPr>
          <w:rFonts w:asciiTheme="majorHAnsi" w:eastAsiaTheme="minorEastAsia" w:hAnsiTheme="majorHAnsi" w:cstheme="minorHAnsi"/>
          <w:sz w:val="23"/>
          <w:szCs w:val="23"/>
          <w:lang w:val="es-ES"/>
        </w:rPr>
      </w:pPr>
    </w:p>
    <w:p w14:paraId="4206B4D7" w14:textId="77777777" w:rsidR="00B52907" w:rsidRPr="001465F3" w:rsidRDefault="00B52907" w:rsidP="00B52907">
      <w:pPr>
        <w:rPr>
          <w:b/>
          <w:bCs/>
          <w:sz w:val="23"/>
          <w:szCs w:val="23"/>
        </w:rPr>
      </w:pPr>
      <w:proofErr w:type="spellStart"/>
      <w:r w:rsidRPr="001465F3">
        <w:rPr>
          <w:b/>
          <w:sz w:val="23"/>
          <w:szCs w:val="23"/>
        </w:rPr>
        <w:t>Facilitadores</w:t>
      </w:r>
      <w:proofErr w:type="spellEnd"/>
      <w:r w:rsidRPr="001465F3">
        <w:rPr>
          <w:b/>
          <w:sz w:val="23"/>
          <w:szCs w:val="23"/>
        </w:rPr>
        <w:t xml:space="preserve">: </w:t>
      </w:r>
    </w:p>
    <w:p w14:paraId="16547F17" w14:textId="77777777" w:rsidR="00B52907" w:rsidRPr="001465F3" w:rsidRDefault="00B52907" w:rsidP="00B52907">
      <w:pPr>
        <w:pStyle w:val="ListParagraph"/>
        <w:numPr>
          <w:ilvl w:val="0"/>
          <w:numId w:val="35"/>
        </w:numPr>
        <w:contextualSpacing/>
        <w:rPr>
          <w:i/>
          <w:iCs/>
          <w:sz w:val="23"/>
          <w:szCs w:val="23"/>
          <w:lang w:val="es-ES"/>
        </w:rPr>
      </w:pPr>
      <w:r w:rsidRPr="001465F3">
        <w:rPr>
          <w:i/>
          <w:iCs/>
          <w:sz w:val="23"/>
          <w:szCs w:val="23"/>
          <w:lang w:val="es-ES"/>
        </w:rPr>
        <w:t xml:space="preserve">Marie-Lara </w:t>
      </w:r>
      <w:proofErr w:type="spellStart"/>
      <w:r w:rsidRPr="001465F3">
        <w:rPr>
          <w:i/>
          <w:iCs/>
          <w:sz w:val="23"/>
          <w:szCs w:val="23"/>
          <w:lang w:val="es-ES"/>
        </w:rPr>
        <w:t>Hubert-Chartier</w:t>
      </w:r>
      <w:proofErr w:type="spellEnd"/>
      <w:r w:rsidRPr="001465F3">
        <w:rPr>
          <w:i/>
          <w:iCs/>
          <w:sz w:val="23"/>
          <w:szCs w:val="23"/>
          <w:lang w:val="es-ES"/>
        </w:rPr>
        <w:t>, especialista en derecho a la alimentación</w:t>
      </w:r>
    </w:p>
    <w:p w14:paraId="429C46CF" w14:textId="77777777" w:rsidR="00B52907" w:rsidRPr="001465F3" w:rsidRDefault="00B52907" w:rsidP="00B52907">
      <w:pPr>
        <w:pStyle w:val="ListParagraph"/>
        <w:numPr>
          <w:ilvl w:val="0"/>
          <w:numId w:val="35"/>
        </w:numPr>
        <w:contextualSpacing/>
        <w:rPr>
          <w:i/>
          <w:iCs/>
          <w:sz w:val="23"/>
          <w:szCs w:val="23"/>
          <w:lang w:val="es-ES"/>
        </w:rPr>
      </w:pPr>
      <w:r w:rsidRPr="001465F3">
        <w:rPr>
          <w:i/>
          <w:iCs/>
          <w:sz w:val="23"/>
          <w:szCs w:val="23"/>
          <w:lang w:val="es-ES"/>
        </w:rPr>
        <w:t>Claire Mason, asesora sobre el derecho a la alimentación</w:t>
      </w:r>
    </w:p>
    <w:p w14:paraId="0055488C" w14:textId="77777777" w:rsidR="00B52907" w:rsidRPr="001465F3" w:rsidRDefault="00B52907" w:rsidP="00B52907">
      <w:pPr>
        <w:pStyle w:val="ListParagraph"/>
        <w:numPr>
          <w:ilvl w:val="0"/>
          <w:numId w:val="35"/>
        </w:numPr>
        <w:contextualSpacing/>
        <w:rPr>
          <w:i/>
          <w:iCs/>
          <w:sz w:val="23"/>
          <w:szCs w:val="23"/>
        </w:rPr>
      </w:pPr>
      <w:r w:rsidRPr="001465F3">
        <w:rPr>
          <w:i/>
          <w:iCs/>
          <w:sz w:val="23"/>
          <w:szCs w:val="23"/>
        </w:rPr>
        <w:t xml:space="preserve">Sarah Brand, </w:t>
      </w:r>
      <w:proofErr w:type="spellStart"/>
      <w:r w:rsidRPr="001465F3">
        <w:rPr>
          <w:i/>
          <w:iCs/>
          <w:sz w:val="23"/>
          <w:szCs w:val="23"/>
        </w:rPr>
        <w:t>profesional</w:t>
      </w:r>
      <w:proofErr w:type="spellEnd"/>
      <w:r w:rsidRPr="001465F3">
        <w:rPr>
          <w:i/>
          <w:iCs/>
          <w:sz w:val="23"/>
          <w:szCs w:val="23"/>
        </w:rPr>
        <w:t xml:space="preserve"> </w:t>
      </w:r>
      <w:proofErr w:type="spellStart"/>
      <w:r w:rsidRPr="001465F3">
        <w:rPr>
          <w:i/>
          <w:iCs/>
          <w:sz w:val="23"/>
          <w:szCs w:val="23"/>
        </w:rPr>
        <w:t>asociada</w:t>
      </w:r>
      <w:proofErr w:type="spellEnd"/>
    </w:p>
    <w:p w14:paraId="62CCD210" w14:textId="77777777" w:rsidR="00B52907" w:rsidRPr="001465F3" w:rsidRDefault="00B52907" w:rsidP="00B52907">
      <w:pPr>
        <w:pStyle w:val="ListParagraph"/>
        <w:numPr>
          <w:ilvl w:val="0"/>
          <w:numId w:val="35"/>
        </w:numPr>
        <w:contextualSpacing/>
        <w:rPr>
          <w:i/>
          <w:iCs/>
          <w:sz w:val="23"/>
          <w:szCs w:val="23"/>
          <w:lang w:val="es-ES"/>
        </w:rPr>
      </w:pPr>
      <w:r w:rsidRPr="001465F3">
        <w:rPr>
          <w:i/>
          <w:iCs/>
          <w:sz w:val="23"/>
          <w:szCs w:val="23"/>
          <w:lang w:val="es-ES"/>
        </w:rPr>
        <w:t xml:space="preserve">Chiara </w:t>
      </w:r>
      <w:proofErr w:type="spellStart"/>
      <w:r w:rsidRPr="001465F3">
        <w:rPr>
          <w:i/>
          <w:iCs/>
          <w:sz w:val="23"/>
          <w:szCs w:val="23"/>
          <w:lang w:val="es-ES"/>
        </w:rPr>
        <w:t>Cirulli</w:t>
      </w:r>
      <w:proofErr w:type="spellEnd"/>
      <w:r w:rsidRPr="001465F3">
        <w:rPr>
          <w:i/>
          <w:iCs/>
          <w:sz w:val="23"/>
          <w:szCs w:val="23"/>
          <w:lang w:val="es-ES"/>
        </w:rPr>
        <w:t>, la secretaría de CSA</w:t>
      </w:r>
    </w:p>
    <w:p w14:paraId="499D3EB9" w14:textId="77777777" w:rsidR="00A61BCC" w:rsidRPr="000036CA" w:rsidRDefault="00A61BCC" w:rsidP="00B52907">
      <w:pPr>
        <w:spacing w:before="120"/>
        <w:rPr>
          <w:b/>
          <w:sz w:val="23"/>
          <w:szCs w:val="23"/>
          <w:lang w:val="es-ES"/>
        </w:rPr>
      </w:pPr>
    </w:p>
    <w:p w14:paraId="66A39A49" w14:textId="5631A53F" w:rsidR="00B52907" w:rsidRPr="001465F3" w:rsidRDefault="00B52907" w:rsidP="00B52907">
      <w:pPr>
        <w:spacing w:before="120"/>
        <w:rPr>
          <w:b/>
          <w:sz w:val="23"/>
          <w:szCs w:val="23"/>
        </w:rPr>
      </w:pPr>
      <w:proofErr w:type="spellStart"/>
      <w:r w:rsidRPr="001465F3">
        <w:rPr>
          <w:b/>
          <w:sz w:val="23"/>
          <w:szCs w:val="23"/>
        </w:rPr>
        <w:t>Referencias</w:t>
      </w:r>
      <w:proofErr w:type="spellEnd"/>
      <w:r w:rsidRPr="001465F3">
        <w:rPr>
          <w:b/>
          <w:sz w:val="23"/>
          <w:szCs w:val="23"/>
        </w:rPr>
        <w:t xml:space="preserve"> </w:t>
      </w:r>
    </w:p>
    <w:p w14:paraId="2D62CF04" w14:textId="77777777" w:rsidR="00B52907" w:rsidRPr="001465F3" w:rsidRDefault="00626CA7" w:rsidP="00B52907">
      <w:pPr>
        <w:pStyle w:val="ListParagraph"/>
        <w:numPr>
          <w:ilvl w:val="0"/>
          <w:numId w:val="36"/>
        </w:numPr>
        <w:spacing w:before="120" w:after="120"/>
        <w:contextualSpacing/>
        <w:rPr>
          <w:rFonts w:eastAsia="Calibri" w:cs="Calibri"/>
          <w:color w:val="000000" w:themeColor="text1"/>
          <w:sz w:val="23"/>
          <w:szCs w:val="23"/>
          <w:lang w:val="es-ES"/>
        </w:rPr>
      </w:pPr>
      <w:hyperlink r:id="rId10" w:history="1">
        <w:r w:rsidR="00B52907" w:rsidRPr="001465F3">
          <w:rPr>
            <w:rStyle w:val="Hyperlink"/>
            <w:sz w:val="23"/>
            <w:szCs w:val="23"/>
            <w:lang w:val="es-ES"/>
          </w:rPr>
          <w:t>Directrices sobre el derecho a la alimentación</w:t>
        </w:r>
      </w:hyperlink>
    </w:p>
    <w:p w14:paraId="42ACA6E4" w14:textId="77777777" w:rsidR="00B52907" w:rsidRPr="001465F3" w:rsidRDefault="00626CA7" w:rsidP="00B52907">
      <w:pPr>
        <w:pStyle w:val="ListParagraph"/>
        <w:numPr>
          <w:ilvl w:val="0"/>
          <w:numId w:val="36"/>
        </w:numPr>
        <w:spacing w:before="120" w:after="120"/>
        <w:contextualSpacing/>
        <w:rPr>
          <w:rFonts w:eastAsia="Calibri" w:cs="Calibri"/>
          <w:color w:val="000000" w:themeColor="text1"/>
          <w:sz w:val="23"/>
          <w:szCs w:val="23"/>
          <w:lang w:val="es-ES"/>
        </w:rPr>
      </w:pPr>
      <w:hyperlink r:id="rId11" w:history="1">
        <w:r w:rsidR="00B52907" w:rsidRPr="001465F3">
          <w:rPr>
            <w:rStyle w:val="Hyperlink"/>
            <w:sz w:val="23"/>
            <w:szCs w:val="23"/>
            <w:lang w:val="es-ES"/>
          </w:rPr>
          <w:t>Quince años de implementación de las Directrices sobre el derecho a la alimentación</w:t>
        </w:r>
      </w:hyperlink>
    </w:p>
    <w:p w14:paraId="748B5BE1" w14:textId="77777777" w:rsidR="00B52907" w:rsidRPr="001465F3" w:rsidRDefault="00626CA7" w:rsidP="00B52907">
      <w:pPr>
        <w:pStyle w:val="ListParagraph"/>
        <w:numPr>
          <w:ilvl w:val="0"/>
          <w:numId w:val="36"/>
        </w:numPr>
        <w:spacing w:before="120" w:after="120"/>
        <w:contextualSpacing/>
        <w:rPr>
          <w:rFonts w:eastAsia="Calibri" w:cs="Calibri"/>
          <w:color w:val="000000" w:themeColor="text1"/>
          <w:sz w:val="23"/>
          <w:szCs w:val="23"/>
          <w:lang w:val="es-ES"/>
        </w:rPr>
      </w:pPr>
      <w:hyperlink r:id="rId12">
        <w:r w:rsidR="00B52907" w:rsidRPr="001465F3">
          <w:rPr>
            <w:rStyle w:val="Hyperlink"/>
            <w:sz w:val="23"/>
            <w:szCs w:val="23"/>
            <w:lang w:val="es-ES"/>
          </w:rPr>
          <w:t>Cuadernos de trabajo sobre el derecho a la alimentación</w:t>
        </w:r>
      </w:hyperlink>
    </w:p>
    <w:p w14:paraId="2150CBE3" w14:textId="77777777" w:rsidR="00B52907" w:rsidRPr="001465F3" w:rsidRDefault="00626CA7" w:rsidP="00B52907">
      <w:pPr>
        <w:pStyle w:val="ListParagraph"/>
        <w:numPr>
          <w:ilvl w:val="0"/>
          <w:numId w:val="36"/>
        </w:numPr>
        <w:spacing w:before="120" w:after="120"/>
        <w:contextualSpacing/>
        <w:rPr>
          <w:rFonts w:eastAsia="Calibri" w:cs="Calibri"/>
          <w:color w:val="000000" w:themeColor="text1"/>
          <w:sz w:val="23"/>
          <w:szCs w:val="23"/>
          <w:lang w:val="es-ES"/>
        </w:rPr>
      </w:pPr>
      <w:hyperlink r:id="rId13" w:history="1">
        <w:r w:rsidR="00B52907" w:rsidRPr="001465F3">
          <w:rPr>
            <w:rStyle w:val="Hyperlink"/>
            <w:sz w:val="23"/>
            <w:szCs w:val="23"/>
            <w:lang w:val="es-ES"/>
          </w:rPr>
          <w:t>Conjunto de herramientas metodológicas sobre el derecho a la alimentación</w:t>
        </w:r>
      </w:hyperlink>
    </w:p>
    <w:p w14:paraId="33AA94C3" w14:textId="77777777" w:rsidR="00B52907" w:rsidRPr="001465F3" w:rsidRDefault="00B52907" w:rsidP="00B52907">
      <w:pPr>
        <w:rPr>
          <w:sz w:val="23"/>
          <w:szCs w:val="23"/>
          <w:lang w:val="es-ES"/>
        </w:rPr>
      </w:pPr>
    </w:p>
    <w:p w14:paraId="02F2DA8F" w14:textId="77777777" w:rsidR="000C6ABA" w:rsidRPr="001465F3" w:rsidRDefault="000C6ABA" w:rsidP="00B52907">
      <w:pPr>
        <w:spacing w:after="0"/>
        <w:rPr>
          <w:rFonts w:eastAsia="SimSun"/>
          <w:b/>
          <w:bCs/>
          <w:sz w:val="23"/>
          <w:szCs w:val="23"/>
          <w:lang w:val="es-ES" w:eastAsia="it-IT"/>
        </w:rPr>
      </w:pPr>
    </w:p>
    <w:sectPr w:rsidR="000C6ABA" w:rsidRPr="001465F3" w:rsidSect="008F2ADB">
      <w:headerReference w:type="default" r:id="rId14"/>
      <w:footerReference w:type="default" r:id="rId15"/>
      <w:headerReference w:type="first" r:id="rId16"/>
      <w:footerReference w:type="first" r:id="rId17"/>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84976" w14:textId="77777777" w:rsidR="00626CA7" w:rsidRDefault="00626CA7" w:rsidP="00D079C6">
      <w:pPr>
        <w:spacing w:after="0"/>
      </w:pPr>
      <w:r>
        <w:separator/>
      </w:r>
    </w:p>
    <w:p w14:paraId="1E36DA02" w14:textId="77777777" w:rsidR="00626CA7" w:rsidRDefault="00626CA7"/>
  </w:endnote>
  <w:endnote w:type="continuationSeparator" w:id="0">
    <w:p w14:paraId="3D6E886E" w14:textId="77777777" w:rsidR="00626CA7" w:rsidRDefault="00626CA7" w:rsidP="00D079C6">
      <w:pPr>
        <w:spacing w:after="0"/>
      </w:pPr>
      <w:r>
        <w:continuationSeparator/>
      </w:r>
    </w:p>
    <w:p w14:paraId="5474BC3A" w14:textId="77777777" w:rsidR="00626CA7" w:rsidRDefault="00626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33D9031D" w14:textId="4BDA9125" w:rsidR="00523E6B" w:rsidRPr="0078592E" w:rsidRDefault="0078592E" w:rsidP="0078592E">
    <w:pPr>
      <w:pStyle w:val="Footer"/>
      <w:tabs>
        <w:tab w:val="clear" w:pos="9360"/>
        <w:tab w:val="right" w:pos="9639"/>
      </w:tabs>
      <w:jc w:val="left"/>
      <w:rPr>
        <w:color w:val="31849B" w:themeColor="accent5" w:themeShade="BF"/>
        <w:sz w:val="22"/>
        <w:u w:val="single"/>
        <w:lang w:val="es-ES"/>
      </w:rPr>
    </w:pPr>
    <w:r w:rsidRPr="002E2384">
      <w:rPr>
        <w:color w:val="31849B" w:themeColor="accent5" w:themeShade="BF"/>
        <w:sz w:val="22"/>
        <w:lang w:val="es-ES"/>
      </w:rPr>
      <w:t>Foro Global sobre Seguridad Alimentaria y Nutrición</w:t>
    </w:r>
    <w:r w:rsidRPr="002E2384">
      <w:rPr>
        <w:color w:val="C00000"/>
        <w:sz w:val="22"/>
        <w:lang w:val="es-ES"/>
      </w:rPr>
      <w:tab/>
    </w:r>
    <w:hyperlink r:id="rId1" w:history="1">
      <w:r w:rsidRPr="002E2384">
        <w:rPr>
          <w:rStyle w:val="Hyperlink"/>
          <w:sz w:val="22"/>
          <w:lang w:val="es-ES"/>
        </w:rPr>
        <w:t>www.fao.org/fsnforum/es</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59223CEE" w14:textId="21F0DD04" w:rsidR="00523E6B" w:rsidRPr="008F4E31" w:rsidRDefault="008F4E31" w:rsidP="008F4E31">
    <w:pPr>
      <w:pStyle w:val="Footer"/>
      <w:tabs>
        <w:tab w:val="clear" w:pos="9360"/>
        <w:tab w:val="right" w:pos="9639"/>
      </w:tabs>
      <w:jc w:val="left"/>
      <w:rPr>
        <w:color w:val="31849B" w:themeColor="accent5" w:themeShade="BF"/>
        <w:sz w:val="22"/>
        <w:u w:val="single"/>
        <w:lang w:val="es-ES"/>
      </w:rPr>
    </w:pPr>
    <w:r w:rsidRPr="002E2384">
      <w:rPr>
        <w:color w:val="31849B" w:themeColor="accent5" w:themeShade="BF"/>
        <w:sz w:val="22"/>
        <w:lang w:val="es-ES"/>
      </w:rPr>
      <w:t>Foro Global sobre Seguridad Alimentaria y Nutrición</w:t>
    </w:r>
    <w:r w:rsidRPr="002E2384">
      <w:rPr>
        <w:color w:val="C00000"/>
        <w:sz w:val="22"/>
        <w:lang w:val="es-ES"/>
      </w:rPr>
      <w:tab/>
    </w:r>
    <w:hyperlink r:id="rId1" w:history="1">
      <w:r w:rsidRPr="002E2384">
        <w:rPr>
          <w:rStyle w:val="Hyperlink"/>
          <w:sz w:val="22"/>
          <w:lang w:val="es-ES"/>
        </w:rPr>
        <w:t>www.fao.org/fsnforum/es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9765C" w14:textId="77777777" w:rsidR="00626CA7" w:rsidRDefault="00626CA7" w:rsidP="00D079C6">
      <w:pPr>
        <w:spacing w:after="0"/>
      </w:pPr>
      <w:r>
        <w:separator/>
      </w:r>
    </w:p>
    <w:p w14:paraId="231E634B" w14:textId="77777777" w:rsidR="00626CA7" w:rsidRDefault="00626CA7"/>
  </w:footnote>
  <w:footnote w:type="continuationSeparator" w:id="0">
    <w:p w14:paraId="602E0D36" w14:textId="77777777" w:rsidR="00626CA7" w:rsidRDefault="00626CA7" w:rsidP="00D079C6">
      <w:pPr>
        <w:spacing w:after="0"/>
      </w:pPr>
      <w:r>
        <w:continuationSeparator/>
      </w:r>
    </w:p>
    <w:p w14:paraId="61BDC8CD" w14:textId="77777777" w:rsidR="00626CA7" w:rsidRDefault="00626C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1035C6" w14:paraId="7DBC5ECB" w14:textId="77777777" w:rsidTr="004E280B">
      <w:tc>
        <w:tcPr>
          <w:tcW w:w="249" w:type="pct"/>
          <w:shd w:val="clear" w:color="auto" w:fill="auto"/>
          <w:vAlign w:val="center"/>
        </w:tcPr>
        <w:p w14:paraId="02C8A6C8" w14:textId="5F45241A" w:rsidR="00523E6B" w:rsidRPr="00B01341" w:rsidRDefault="00523E6B" w:rsidP="004E280B">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72084B">
            <w:rPr>
              <w:noProof/>
              <w:color w:val="31849B"/>
              <w:sz w:val="20"/>
              <w:szCs w:val="20"/>
            </w:rPr>
            <w:t>3</w:t>
          </w:r>
          <w:r w:rsidRPr="00B01341">
            <w:rPr>
              <w:color w:val="31849B"/>
              <w:sz w:val="20"/>
              <w:szCs w:val="20"/>
            </w:rPr>
            <w:fldChar w:fldCharType="end"/>
          </w:r>
        </w:p>
      </w:tc>
      <w:tc>
        <w:tcPr>
          <w:tcW w:w="4751" w:type="pct"/>
          <w:shd w:val="clear" w:color="auto" w:fill="auto"/>
        </w:tcPr>
        <w:p w14:paraId="5AB86744" w14:textId="77777777" w:rsidR="00523E6B" w:rsidRDefault="001035C6" w:rsidP="00926CCE">
          <w:pPr>
            <w:pStyle w:val="top"/>
            <w:rPr>
              <w:lang w:val="it-IT"/>
            </w:rPr>
          </w:pPr>
          <w:r w:rsidRPr="001035C6">
            <w:rPr>
              <w:lang w:val="it-IT"/>
            </w:rPr>
            <w:t>Vigésimo aniversario de las Directrices sobre el derecho a la alimentación: convocatoria para la presentación de contribuciones sobre la realización del derecho humano a una alimentación adecuada</w:t>
          </w:r>
        </w:p>
        <w:p w14:paraId="66B30B10" w14:textId="6C6B312D" w:rsidR="00837AC6" w:rsidRPr="00837AC6" w:rsidRDefault="00837AC6" w:rsidP="00837AC6">
          <w:pPr>
            <w:pStyle w:val="top"/>
            <w:rPr>
              <w:lang w:val="it-IT"/>
            </w:rPr>
          </w:pPr>
          <w:r>
            <w:rPr>
              <w:lang w:val="it-IT"/>
            </w:rPr>
            <w:t>CONVOCATORIA DE PRESENTACIONES</w:t>
          </w:r>
        </w:p>
      </w:tc>
    </w:tr>
  </w:tbl>
  <w:p w14:paraId="59EDF489" w14:textId="77777777" w:rsidR="00523E6B" w:rsidRPr="00CD633A" w:rsidRDefault="00523E6B">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B358" w14:textId="5DABC398" w:rsidR="00523E6B" w:rsidRDefault="00523E6B" w:rsidP="008E48A2">
    <w:pPr>
      <w:pStyle w:val="Header"/>
      <w:jc w:val="left"/>
      <w:rPr>
        <w:b/>
        <w:color w:val="FFFFFF"/>
      </w:rPr>
    </w:pPr>
    <w:r w:rsidRPr="00DC6173">
      <w:t xml:space="preserve"> </w:t>
    </w:r>
    <w:r w:rsidR="00CB2E7B">
      <w:rPr>
        <w:b/>
        <w:noProof/>
        <w:color w:val="FFFFFF"/>
        <w:lang w:eastAsia="zh-CN"/>
      </w:rPr>
      <w:drawing>
        <wp:inline distT="0" distB="0" distL="0" distR="0" wp14:anchorId="1FABAFC4" wp14:editId="1882B5CB">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00BF0A38" w:rsidR="00523E6B" w:rsidRPr="00242BC8" w:rsidRDefault="00CB2E7B" w:rsidP="00242BC8">
    <w:pPr>
      <w:pStyle w:val="Heading4"/>
    </w:pPr>
    <w:r>
      <w:rPr>
        <w:noProof/>
        <w:lang w:eastAsia="zh-CN"/>
      </w:rPr>
      <w:drawing>
        <wp:inline distT="0" distB="0" distL="0" distR="0" wp14:anchorId="74DB44FF" wp14:editId="63424788">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ES.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79DE24A3" w:rsidR="00523E6B" w:rsidRPr="0043646E" w:rsidRDefault="00CB2E7B" w:rsidP="00562B32">
          <w:pPr>
            <w:pStyle w:val="Heading6"/>
            <w:spacing w:before="0" w:after="0"/>
          </w:pPr>
          <w:r>
            <w:t>TEMA</w:t>
          </w:r>
        </w:p>
      </w:tc>
    </w:tr>
    <w:tr w:rsidR="00523E6B" w:rsidRPr="00EB3574" w14:paraId="36933E01" w14:textId="77777777" w:rsidTr="00A30E12">
      <w:trPr>
        <w:jc w:val="center"/>
      </w:trPr>
      <w:tc>
        <w:tcPr>
          <w:tcW w:w="9639" w:type="dxa"/>
          <w:shd w:val="clear" w:color="auto" w:fill="FFFFFF" w:themeFill="background1"/>
        </w:tcPr>
        <w:p w14:paraId="0A3BE37F" w14:textId="524421F1" w:rsidR="00E7714A" w:rsidRPr="00530FE3" w:rsidRDefault="00837AC6" w:rsidP="00E7714A">
          <w:pPr>
            <w:spacing w:after="0" w:line="276" w:lineRule="auto"/>
            <w:jc w:val="center"/>
            <w:rPr>
              <w:rFonts w:asciiTheme="majorHAnsi" w:hAnsiTheme="majorHAnsi"/>
              <w:b/>
              <w:color w:val="31849B" w:themeColor="accent5" w:themeShade="BF"/>
              <w:sz w:val="22"/>
            </w:rPr>
          </w:pPr>
          <w:r>
            <w:rPr>
              <w:rFonts w:asciiTheme="majorHAnsi" w:hAnsiTheme="majorHAnsi"/>
              <w:b/>
              <w:sz w:val="22"/>
            </w:rPr>
            <w:t>15.05.2023</w:t>
          </w:r>
          <w:r w:rsidRPr="00036912">
            <w:rPr>
              <w:rFonts w:asciiTheme="majorHAnsi" w:hAnsiTheme="majorHAnsi"/>
              <w:b/>
              <w:sz w:val="22"/>
            </w:rPr>
            <w:t xml:space="preserve"> – </w:t>
          </w:r>
          <w:r>
            <w:rPr>
              <w:rFonts w:asciiTheme="majorHAnsi" w:hAnsiTheme="majorHAnsi"/>
              <w:b/>
              <w:sz w:val="22"/>
            </w:rPr>
            <w:t>23.06.2023</w:t>
          </w:r>
          <w:r w:rsidR="00523E6B" w:rsidRPr="00530FE3">
            <w:rPr>
              <w:rFonts w:asciiTheme="majorHAnsi" w:hAnsiTheme="majorHAnsi"/>
              <w:b/>
              <w:color w:val="31849B" w:themeColor="accent5" w:themeShade="BF"/>
              <w:sz w:val="22"/>
            </w:rPr>
            <w:br/>
          </w:r>
          <w:r w:rsidR="00523E6B" w:rsidRPr="00530FE3">
            <w:rPr>
              <w:noProof/>
              <w:sz w:val="22"/>
              <w:lang w:eastAsia="zh-CN"/>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530FE3">
            <w:rPr>
              <w:sz w:val="22"/>
            </w:rPr>
            <w:t xml:space="preserve">   </w:t>
          </w:r>
          <w:hyperlink r:id="rId4" w:history="1">
            <w:r>
              <w:rPr>
                <w:rStyle w:val="Hyperlink"/>
                <w:sz w:val="22"/>
              </w:rPr>
              <w:t>https://www.fao.org/fsnforum/es/call-submissions/20th-anniversary-right-food-guidelines</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CC6C7E"/>
    <w:multiLevelType w:val="hybridMultilevel"/>
    <w:tmpl w:val="F3C8D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8210B5"/>
    <w:multiLevelType w:val="hybridMultilevel"/>
    <w:tmpl w:val="55701F2E"/>
    <w:lvl w:ilvl="0" w:tplc="279251F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0E5F04"/>
    <w:multiLevelType w:val="hybridMultilevel"/>
    <w:tmpl w:val="FFFFFFFF"/>
    <w:lvl w:ilvl="0" w:tplc="E3D866F0">
      <w:start w:val="1"/>
      <w:numFmt w:val="bullet"/>
      <w:lvlText w:val=""/>
      <w:lvlJc w:val="left"/>
      <w:pPr>
        <w:ind w:left="720" w:hanging="360"/>
      </w:pPr>
      <w:rPr>
        <w:rFonts w:ascii="Symbol" w:hAnsi="Symbol" w:hint="default"/>
      </w:rPr>
    </w:lvl>
    <w:lvl w:ilvl="1" w:tplc="71FA0FAA">
      <w:start w:val="1"/>
      <w:numFmt w:val="bullet"/>
      <w:lvlText w:val="o"/>
      <w:lvlJc w:val="left"/>
      <w:pPr>
        <w:ind w:left="1440" w:hanging="360"/>
      </w:pPr>
      <w:rPr>
        <w:rFonts w:ascii="Courier New" w:hAnsi="Courier New" w:hint="default"/>
      </w:rPr>
    </w:lvl>
    <w:lvl w:ilvl="2" w:tplc="46AC8802">
      <w:start w:val="1"/>
      <w:numFmt w:val="bullet"/>
      <w:lvlText w:val=""/>
      <w:lvlJc w:val="left"/>
      <w:pPr>
        <w:ind w:left="2160" w:hanging="360"/>
      </w:pPr>
      <w:rPr>
        <w:rFonts w:ascii="Wingdings" w:hAnsi="Wingdings" w:hint="default"/>
      </w:rPr>
    </w:lvl>
    <w:lvl w:ilvl="3" w:tplc="5D029DFA">
      <w:start w:val="1"/>
      <w:numFmt w:val="bullet"/>
      <w:lvlText w:val=""/>
      <w:lvlJc w:val="left"/>
      <w:pPr>
        <w:ind w:left="2880" w:hanging="360"/>
      </w:pPr>
      <w:rPr>
        <w:rFonts w:ascii="Symbol" w:hAnsi="Symbol" w:hint="default"/>
      </w:rPr>
    </w:lvl>
    <w:lvl w:ilvl="4" w:tplc="30269CC2">
      <w:start w:val="1"/>
      <w:numFmt w:val="bullet"/>
      <w:lvlText w:val="o"/>
      <w:lvlJc w:val="left"/>
      <w:pPr>
        <w:ind w:left="3600" w:hanging="360"/>
      </w:pPr>
      <w:rPr>
        <w:rFonts w:ascii="Courier New" w:hAnsi="Courier New" w:hint="default"/>
      </w:rPr>
    </w:lvl>
    <w:lvl w:ilvl="5" w:tplc="371C8D0A">
      <w:start w:val="1"/>
      <w:numFmt w:val="bullet"/>
      <w:lvlText w:val=""/>
      <w:lvlJc w:val="left"/>
      <w:pPr>
        <w:ind w:left="4320" w:hanging="360"/>
      </w:pPr>
      <w:rPr>
        <w:rFonts w:ascii="Wingdings" w:hAnsi="Wingdings" w:hint="default"/>
      </w:rPr>
    </w:lvl>
    <w:lvl w:ilvl="6" w:tplc="2FBA43E4">
      <w:start w:val="1"/>
      <w:numFmt w:val="bullet"/>
      <w:lvlText w:val=""/>
      <w:lvlJc w:val="left"/>
      <w:pPr>
        <w:ind w:left="5040" w:hanging="360"/>
      </w:pPr>
      <w:rPr>
        <w:rFonts w:ascii="Symbol" w:hAnsi="Symbol" w:hint="default"/>
      </w:rPr>
    </w:lvl>
    <w:lvl w:ilvl="7" w:tplc="00761DA0">
      <w:start w:val="1"/>
      <w:numFmt w:val="bullet"/>
      <w:lvlText w:val="o"/>
      <w:lvlJc w:val="left"/>
      <w:pPr>
        <w:ind w:left="5760" w:hanging="360"/>
      </w:pPr>
      <w:rPr>
        <w:rFonts w:ascii="Courier New" w:hAnsi="Courier New" w:hint="default"/>
      </w:rPr>
    </w:lvl>
    <w:lvl w:ilvl="8" w:tplc="DB923002">
      <w:start w:val="1"/>
      <w:numFmt w:val="bullet"/>
      <w:lvlText w:val=""/>
      <w:lvlJc w:val="left"/>
      <w:pPr>
        <w:ind w:left="6480" w:hanging="360"/>
      </w:pPr>
      <w:rPr>
        <w:rFonts w:ascii="Wingdings" w:hAnsi="Wingdings" w:hint="default"/>
      </w:rPr>
    </w:lvl>
  </w:abstractNum>
  <w:abstractNum w:abstractNumId="7" w15:restartNumberingAfterBreak="0">
    <w:nsid w:val="17A71D7B"/>
    <w:multiLevelType w:val="hybridMultilevel"/>
    <w:tmpl w:val="8174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658CE"/>
    <w:multiLevelType w:val="hybridMultilevel"/>
    <w:tmpl w:val="5C26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941F95"/>
    <w:multiLevelType w:val="hybridMultilevel"/>
    <w:tmpl w:val="060E8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8" w15:restartNumberingAfterBreak="0">
    <w:nsid w:val="2E144C8A"/>
    <w:multiLevelType w:val="hybridMultilevel"/>
    <w:tmpl w:val="FFFFFFFF"/>
    <w:lvl w:ilvl="0" w:tplc="EDEE7FDE">
      <w:start w:val="1"/>
      <w:numFmt w:val="bullet"/>
      <w:lvlText w:val=""/>
      <w:lvlJc w:val="left"/>
      <w:pPr>
        <w:ind w:left="720" w:hanging="360"/>
      </w:pPr>
      <w:rPr>
        <w:rFonts w:ascii="Symbol" w:hAnsi="Symbol" w:hint="default"/>
      </w:rPr>
    </w:lvl>
    <w:lvl w:ilvl="1" w:tplc="FFBECAD0">
      <w:start w:val="1"/>
      <w:numFmt w:val="bullet"/>
      <w:lvlText w:val="o"/>
      <w:lvlJc w:val="left"/>
      <w:pPr>
        <w:ind w:left="1440" w:hanging="360"/>
      </w:pPr>
      <w:rPr>
        <w:rFonts w:ascii="Courier New" w:hAnsi="Courier New" w:hint="default"/>
      </w:rPr>
    </w:lvl>
    <w:lvl w:ilvl="2" w:tplc="0F8252D2">
      <w:start w:val="1"/>
      <w:numFmt w:val="bullet"/>
      <w:lvlText w:val=""/>
      <w:lvlJc w:val="left"/>
      <w:pPr>
        <w:ind w:left="2160" w:hanging="360"/>
      </w:pPr>
      <w:rPr>
        <w:rFonts w:ascii="Wingdings" w:hAnsi="Wingdings" w:hint="default"/>
      </w:rPr>
    </w:lvl>
    <w:lvl w:ilvl="3" w:tplc="A6C2D3B0">
      <w:start w:val="1"/>
      <w:numFmt w:val="bullet"/>
      <w:lvlText w:val=""/>
      <w:lvlJc w:val="left"/>
      <w:pPr>
        <w:ind w:left="2880" w:hanging="360"/>
      </w:pPr>
      <w:rPr>
        <w:rFonts w:ascii="Symbol" w:hAnsi="Symbol" w:hint="default"/>
      </w:rPr>
    </w:lvl>
    <w:lvl w:ilvl="4" w:tplc="998C1FD4">
      <w:start w:val="1"/>
      <w:numFmt w:val="bullet"/>
      <w:lvlText w:val="o"/>
      <w:lvlJc w:val="left"/>
      <w:pPr>
        <w:ind w:left="3600" w:hanging="360"/>
      </w:pPr>
      <w:rPr>
        <w:rFonts w:ascii="Courier New" w:hAnsi="Courier New" w:hint="default"/>
      </w:rPr>
    </w:lvl>
    <w:lvl w:ilvl="5" w:tplc="6AAA60C6">
      <w:start w:val="1"/>
      <w:numFmt w:val="bullet"/>
      <w:lvlText w:val=""/>
      <w:lvlJc w:val="left"/>
      <w:pPr>
        <w:ind w:left="4320" w:hanging="360"/>
      </w:pPr>
      <w:rPr>
        <w:rFonts w:ascii="Wingdings" w:hAnsi="Wingdings" w:hint="default"/>
      </w:rPr>
    </w:lvl>
    <w:lvl w:ilvl="6" w:tplc="1CB835D6">
      <w:start w:val="1"/>
      <w:numFmt w:val="bullet"/>
      <w:lvlText w:val=""/>
      <w:lvlJc w:val="left"/>
      <w:pPr>
        <w:ind w:left="5040" w:hanging="360"/>
      </w:pPr>
      <w:rPr>
        <w:rFonts w:ascii="Symbol" w:hAnsi="Symbol" w:hint="default"/>
      </w:rPr>
    </w:lvl>
    <w:lvl w:ilvl="7" w:tplc="C62AF4F0">
      <w:start w:val="1"/>
      <w:numFmt w:val="bullet"/>
      <w:lvlText w:val="o"/>
      <w:lvlJc w:val="left"/>
      <w:pPr>
        <w:ind w:left="5760" w:hanging="360"/>
      </w:pPr>
      <w:rPr>
        <w:rFonts w:ascii="Courier New" w:hAnsi="Courier New" w:hint="default"/>
      </w:rPr>
    </w:lvl>
    <w:lvl w:ilvl="8" w:tplc="1F984C78">
      <w:start w:val="1"/>
      <w:numFmt w:val="bullet"/>
      <w:lvlText w:val=""/>
      <w:lvlJc w:val="left"/>
      <w:pPr>
        <w:ind w:left="6480" w:hanging="360"/>
      </w:pPr>
      <w:rPr>
        <w:rFonts w:ascii="Wingdings" w:hAnsi="Wingdings" w:hint="default"/>
      </w:rPr>
    </w:lvl>
  </w:abstractNum>
  <w:abstractNum w:abstractNumId="19"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C2ECA"/>
    <w:multiLevelType w:val="hybridMultilevel"/>
    <w:tmpl w:val="564C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9A86686"/>
    <w:multiLevelType w:val="hybridMultilevel"/>
    <w:tmpl w:val="DDA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70ADF"/>
    <w:multiLevelType w:val="hybridMultilevel"/>
    <w:tmpl w:val="92881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9"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6027E"/>
    <w:multiLevelType w:val="hybridMultilevel"/>
    <w:tmpl w:val="D036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4"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76C33"/>
    <w:multiLevelType w:val="hybridMultilevel"/>
    <w:tmpl w:val="4ACA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4"/>
  </w:num>
  <w:num w:numId="4">
    <w:abstractNumId w:val="20"/>
  </w:num>
  <w:num w:numId="5">
    <w:abstractNumId w:val="8"/>
  </w:num>
  <w:num w:numId="6">
    <w:abstractNumId w:val="24"/>
  </w:num>
  <w:num w:numId="7">
    <w:abstractNumId w:val="11"/>
  </w:num>
  <w:num w:numId="8">
    <w:abstractNumId w:val="13"/>
  </w:num>
  <w:num w:numId="9">
    <w:abstractNumId w:val="22"/>
  </w:num>
  <w:num w:numId="10">
    <w:abstractNumId w:val="25"/>
  </w:num>
  <w:num w:numId="11">
    <w:abstractNumId w:val="19"/>
  </w:num>
  <w:num w:numId="12">
    <w:abstractNumId w:val="25"/>
  </w:num>
  <w:num w:numId="13">
    <w:abstractNumId w:val="29"/>
  </w:num>
  <w:num w:numId="14">
    <w:abstractNumId w:val="4"/>
  </w:num>
  <w:num w:numId="15">
    <w:abstractNumId w:val="30"/>
  </w:num>
  <w:num w:numId="16">
    <w:abstractNumId w:val="12"/>
  </w:num>
  <w:num w:numId="17">
    <w:abstractNumId w:val="16"/>
  </w:num>
  <w:num w:numId="18">
    <w:abstractNumId w:val="31"/>
  </w:num>
  <w:num w:numId="19">
    <w:abstractNumId w:val="2"/>
  </w:num>
  <w:num w:numId="20">
    <w:abstractNumId w:val="33"/>
  </w:num>
  <w:num w:numId="21">
    <w:abstractNumId w:val="17"/>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14"/>
  </w:num>
  <w:num w:numId="27">
    <w:abstractNumId w:val="5"/>
  </w:num>
  <w:num w:numId="28">
    <w:abstractNumId w:val="1"/>
  </w:num>
  <w:num w:numId="29">
    <w:abstractNumId w:val="32"/>
  </w:num>
  <w:num w:numId="30">
    <w:abstractNumId w:val="7"/>
  </w:num>
  <w:num w:numId="31">
    <w:abstractNumId w:val="35"/>
  </w:num>
  <w:num w:numId="32">
    <w:abstractNumId w:val="9"/>
  </w:num>
  <w:num w:numId="33">
    <w:abstractNumId w:val="27"/>
  </w:num>
  <w:num w:numId="34">
    <w:abstractNumId w:val="21"/>
  </w:num>
  <w:num w:numId="35">
    <w:abstractNumId w:val="18"/>
  </w:num>
  <w:num w:numId="3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36CA"/>
    <w:rsid w:val="000043AB"/>
    <w:rsid w:val="00013288"/>
    <w:rsid w:val="00016690"/>
    <w:rsid w:val="00024193"/>
    <w:rsid w:val="00024380"/>
    <w:rsid w:val="00025F78"/>
    <w:rsid w:val="00036912"/>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A7F0C"/>
    <w:rsid w:val="000B163E"/>
    <w:rsid w:val="000B4BB8"/>
    <w:rsid w:val="000B63A7"/>
    <w:rsid w:val="000B7136"/>
    <w:rsid w:val="000C0659"/>
    <w:rsid w:val="000C183C"/>
    <w:rsid w:val="000C3FD2"/>
    <w:rsid w:val="000C6ABA"/>
    <w:rsid w:val="000C73F9"/>
    <w:rsid w:val="000C7F12"/>
    <w:rsid w:val="000D0FA5"/>
    <w:rsid w:val="000D2F1A"/>
    <w:rsid w:val="000D3A0C"/>
    <w:rsid w:val="000D4FAB"/>
    <w:rsid w:val="000E05B8"/>
    <w:rsid w:val="000E1654"/>
    <w:rsid w:val="000E3063"/>
    <w:rsid w:val="000E4AC0"/>
    <w:rsid w:val="000E4F0D"/>
    <w:rsid w:val="000E5BDF"/>
    <w:rsid w:val="000E7056"/>
    <w:rsid w:val="000E73E4"/>
    <w:rsid w:val="000F0CC4"/>
    <w:rsid w:val="000F5B71"/>
    <w:rsid w:val="0010020C"/>
    <w:rsid w:val="00101020"/>
    <w:rsid w:val="001035C6"/>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465F3"/>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4926"/>
    <w:rsid w:val="001B746D"/>
    <w:rsid w:val="001B7B9C"/>
    <w:rsid w:val="001C0DE7"/>
    <w:rsid w:val="001C3E4C"/>
    <w:rsid w:val="001C5341"/>
    <w:rsid w:val="001C6784"/>
    <w:rsid w:val="001C71F0"/>
    <w:rsid w:val="001D01E2"/>
    <w:rsid w:val="001D2BC2"/>
    <w:rsid w:val="001D2D05"/>
    <w:rsid w:val="001D3BF0"/>
    <w:rsid w:val="001D7FD7"/>
    <w:rsid w:val="001E1B60"/>
    <w:rsid w:val="001E3DDD"/>
    <w:rsid w:val="001E6A5A"/>
    <w:rsid w:val="001E741B"/>
    <w:rsid w:val="001F3C37"/>
    <w:rsid w:val="001F6273"/>
    <w:rsid w:val="00207B16"/>
    <w:rsid w:val="0021356E"/>
    <w:rsid w:val="00215654"/>
    <w:rsid w:val="00220776"/>
    <w:rsid w:val="00220FC1"/>
    <w:rsid w:val="002228EA"/>
    <w:rsid w:val="00235327"/>
    <w:rsid w:val="00242954"/>
    <w:rsid w:val="00242BC8"/>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2D33"/>
    <w:rsid w:val="00294755"/>
    <w:rsid w:val="00297943"/>
    <w:rsid w:val="002A13A9"/>
    <w:rsid w:val="002A34F1"/>
    <w:rsid w:val="002B5147"/>
    <w:rsid w:val="002B7A20"/>
    <w:rsid w:val="002C016B"/>
    <w:rsid w:val="002C533F"/>
    <w:rsid w:val="002D0C13"/>
    <w:rsid w:val="002D0DB5"/>
    <w:rsid w:val="002D1158"/>
    <w:rsid w:val="002D645B"/>
    <w:rsid w:val="002E2407"/>
    <w:rsid w:val="002E3A18"/>
    <w:rsid w:val="002E57CC"/>
    <w:rsid w:val="002F5516"/>
    <w:rsid w:val="003025C0"/>
    <w:rsid w:val="003045C3"/>
    <w:rsid w:val="00323733"/>
    <w:rsid w:val="00326CDF"/>
    <w:rsid w:val="00330F58"/>
    <w:rsid w:val="003318B1"/>
    <w:rsid w:val="00331C9F"/>
    <w:rsid w:val="0034116D"/>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1C60"/>
    <w:rsid w:val="003F2437"/>
    <w:rsid w:val="004001EC"/>
    <w:rsid w:val="00402F5C"/>
    <w:rsid w:val="00413C59"/>
    <w:rsid w:val="00415E47"/>
    <w:rsid w:val="004339ED"/>
    <w:rsid w:val="00434855"/>
    <w:rsid w:val="0043646E"/>
    <w:rsid w:val="00440F26"/>
    <w:rsid w:val="00441081"/>
    <w:rsid w:val="00442697"/>
    <w:rsid w:val="00442895"/>
    <w:rsid w:val="00442A9A"/>
    <w:rsid w:val="00443C29"/>
    <w:rsid w:val="00446C71"/>
    <w:rsid w:val="00450A16"/>
    <w:rsid w:val="00453970"/>
    <w:rsid w:val="00454AD6"/>
    <w:rsid w:val="00454FC9"/>
    <w:rsid w:val="0045705D"/>
    <w:rsid w:val="0046248A"/>
    <w:rsid w:val="00464066"/>
    <w:rsid w:val="00464C5F"/>
    <w:rsid w:val="00465916"/>
    <w:rsid w:val="00473535"/>
    <w:rsid w:val="0047467B"/>
    <w:rsid w:val="00474FA1"/>
    <w:rsid w:val="0048282F"/>
    <w:rsid w:val="00483C40"/>
    <w:rsid w:val="00483F46"/>
    <w:rsid w:val="004843DC"/>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280B"/>
    <w:rsid w:val="004E7741"/>
    <w:rsid w:val="004E7CE9"/>
    <w:rsid w:val="004F31FF"/>
    <w:rsid w:val="004F67DD"/>
    <w:rsid w:val="00501155"/>
    <w:rsid w:val="00502264"/>
    <w:rsid w:val="005031A5"/>
    <w:rsid w:val="00503765"/>
    <w:rsid w:val="0050393D"/>
    <w:rsid w:val="0050498E"/>
    <w:rsid w:val="00504AA4"/>
    <w:rsid w:val="00513851"/>
    <w:rsid w:val="0051392C"/>
    <w:rsid w:val="00523E6B"/>
    <w:rsid w:val="00523EB5"/>
    <w:rsid w:val="00525937"/>
    <w:rsid w:val="00525E16"/>
    <w:rsid w:val="00527518"/>
    <w:rsid w:val="00530080"/>
    <w:rsid w:val="00530FE3"/>
    <w:rsid w:val="005312EB"/>
    <w:rsid w:val="0053212C"/>
    <w:rsid w:val="0053562D"/>
    <w:rsid w:val="0054006D"/>
    <w:rsid w:val="005401FE"/>
    <w:rsid w:val="00543046"/>
    <w:rsid w:val="00545B0C"/>
    <w:rsid w:val="00546FE4"/>
    <w:rsid w:val="0054723E"/>
    <w:rsid w:val="005472CD"/>
    <w:rsid w:val="00551A21"/>
    <w:rsid w:val="00551F76"/>
    <w:rsid w:val="00552E7A"/>
    <w:rsid w:val="005559BB"/>
    <w:rsid w:val="00556394"/>
    <w:rsid w:val="00556ABB"/>
    <w:rsid w:val="00562642"/>
    <w:rsid w:val="00562B32"/>
    <w:rsid w:val="005711F6"/>
    <w:rsid w:val="005712A5"/>
    <w:rsid w:val="00571C32"/>
    <w:rsid w:val="00572FF9"/>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2F1F"/>
    <w:rsid w:val="005C4E8D"/>
    <w:rsid w:val="005D08CC"/>
    <w:rsid w:val="005D55B7"/>
    <w:rsid w:val="005E382E"/>
    <w:rsid w:val="005E3DFC"/>
    <w:rsid w:val="005F5A29"/>
    <w:rsid w:val="0060013E"/>
    <w:rsid w:val="0060348A"/>
    <w:rsid w:val="00612E2E"/>
    <w:rsid w:val="00613AF7"/>
    <w:rsid w:val="00613E51"/>
    <w:rsid w:val="006152BF"/>
    <w:rsid w:val="00617E89"/>
    <w:rsid w:val="006243E6"/>
    <w:rsid w:val="00624DAA"/>
    <w:rsid w:val="00626CA7"/>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3562"/>
    <w:rsid w:val="006E46C7"/>
    <w:rsid w:val="006E6A93"/>
    <w:rsid w:val="006F3F14"/>
    <w:rsid w:val="006F5811"/>
    <w:rsid w:val="007008BB"/>
    <w:rsid w:val="00701070"/>
    <w:rsid w:val="00701231"/>
    <w:rsid w:val="0070221C"/>
    <w:rsid w:val="00702D28"/>
    <w:rsid w:val="00705BBF"/>
    <w:rsid w:val="00712152"/>
    <w:rsid w:val="00713320"/>
    <w:rsid w:val="00714749"/>
    <w:rsid w:val="0072084B"/>
    <w:rsid w:val="00721603"/>
    <w:rsid w:val="00721E3B"/>
    <w:rsid w:val="00724428"/>
    <w:rsid w:val="00724726"/>
    <w:rsid w:val="00731297"/>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74FED"/>
    <w:rsid w:val="007808AE"/>
    <w:rsid w:val="00783498"/>
    <w:rsid w:val="0078372B"/>
    <w:rsid w:val="0078592E"/>
    <w:rsid w:val="00786AE7"/>
    <w:rsid w:val="00790F89"/>
    <w:rsid w:val="0079586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451A"/>
    <w:rsid w:val="00815E06"/>
    <w:rsid w:val="008165B1"/>
    <w:rsid w:val="00823DDE"/>
    <w:rsid w:val="0082543F"/>
    <w:rsid w:val="00825E7F"/>
    <w:rsid w:val="008306F9"/>
    <w:rsid w:val="00832491"/>
    <w:rsid w:val="00832617"/>
    <w:rsid w:val="0083360F"/>
    <w:rsid w:val="00834D8B"/>
    <w:rsid w:val="00835461"/>
    <w:rsid w:val="008373B3"/>
    <w:rsid w:val="00837AC6"/>
    <w:rsid w:val="008407B0"/>
    <w:rsid w:val="008434E6"/>
    <w:rsid w:val="00845408"/>
    <w:rsid w:val="00845BF1"/>
    <w:rsid w:val="00846F63"/>
    <w:rsid w:val="0085074D"/>
    <w:rsid w:val="0085669C"/>
    <w:rsid w:val="00856B48"/>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D7A5A"/>
    <w:rsid w:val="008E48A2"/>
    <w:rsid w:val="008F2ADB"/>
    <w:rsid w:val="008F4E31"/>
    <w:rsid w:val="008F5848"/>
    <w:rsid w:val="008F79C2"/>
    <w:rsid w:val="00904EBB"/>
    <w:rsid w:val="00914AB0"/>
    <w:rsid w:val="009158E9"/>
    <w:rsid w:val="00921FDE"/>
    <w:rsid w:val="009240DB"/>
    <w:rsid w:val="009241E4"/>
    <w:rsid w:val="00926B22"/>
    <w:rsid w:val="00926CCE"/>
    <w:rsid w:val="009308C5"/>
    <w:rsid w:val="00930E21"/>
    <w:rsid w:val="0093685E"/>
    <w:rsid w:val="0094537E"/>
    <w:rsid w:val="00947FF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6B77"/>
    <w:rsid w:val="009B7FA8"/>
    <w:rsid w:val="009C444E"/>
    <w:rsid w:val="009D172C"/>
    <w:rsid w:val="009D4B26"/>
    <w:rsid w:val="009E1E0A"/>
    <w:rsid w:val="009E3CB3"/>
    <w:rsid w:val="009E5D98"/>
    <w:rsid w:val="009F1C1F"/>
    <w:rsid w:val="009F3520"/>
    <w:rsid w:val="00A105E4"/>
    <w:rsid w:val="00A14DBF"/>
    <w:rsid w:val="00A17476"/>
    <w:rsid w:val="00A24A0D"/>
    <w:rsid w:val="00A26B4F"/>
    <w:rsid w:val="00A30324"/>
    <w:rsid w:val="00A30E12"/>
    <w:rsid w:val="00A4253D"/>
    <w:rsid w:val="00A45E8D"/>
    <w:rsid w:val="00A462C5"/>
    <w:rsid w:val="00A5029D"/>
    <w:rsid w:val="00A50B57"/>
    <w:rsid w:val="00A526FE"/>
    <w:rsid w:val="00A53E98"/>
    <w:rsid w:val="00A600FB"/>
    <w:rsid w:val="00A61BCC"/>
    <w:rsid w:val="00A6607D"/>
    <w:rsid w:val="00A675E8"/>
    <w:rsid w:val="00A72480"/>
    <w:rsid w:val="00A73368"/>
    <w:rsid w:val="00A74F65"/>
    <w:rsid w:val="00A83C07"/>
    <w:rsid w:val="00A83DBE"/>
    <w:rsid w:val="00A86FB2"/>
    <w:rsid w:val="00A92376"/>
    <w:rsid w:val="00AA1590"/>
    <w:rsid w:val="00AB1415"/>
    <w:rsid w:val="00AB53A9"/>
    <w:rsid w:val="00AC62AD"/>
    <w:rsid w:val="00AC6AF7"/>
    <w:rsid w:val="00AD262B"/>
    <w:rsid w:val="00AD4881"/>
    <w:rsid w:val="00AD6935"/>
    <w:rsid w:val="00AD7891"/>
    <w:rsid w:val="00AE4668"/>
    <w:rsid w:val="00AF3957"/>
    <w:rsid w:val="00AF414E"/>
    <w:rsid w:val="00AF4888"/>
    <w:rsid w:val="00B009B8"/>
    <w:rsid w:val="00B01341"/>
    <w:rsid w:val="00B0170C"/>
    <w:rsid w:val="00B01DFA"/>
    <w:rsid w:val="00B057CC"/>
    <w:rsid w:val="00B067A1"/>
    <w:rsid w:val="00B0735E"/>
    <w:rsid w:val="00B103B4"/>
    <w:rsid w:val="00B11EBE"/>
    <w:rsid w:val="00B12FD6"/>
    <w:rsid w:val="00B13424"/>
    <w:rsid w:val="00B22FF0"/>
    <w:rsid w:val="00B330F2"/>
    <w:rsid w:val="00B34236"/>
    <w:rsid w:val="00B35E4D"/>
    <w:rsid w:val="00B36508"/>
    <w:rsid w:val="00B37745"/>
    <w:rsid w:val="00B4371D"/>
    <w:rsid w:val="00B52907"/>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C5E32"/>
    <w:rsid w:val="00BC6050"/>
    <w:rsid w:val="00BD0002"/>
    <w:rsid w:val="00BD0D6C"/>
    <w:rsid w:val="00BD2198"/>
    <w:rsid w:val="00BE2CAB"/>
    <w:rsid w:val="00BE73FA"/>
    <w:rsid w:val="00BF115F"/>
    <w:rsid w:val="00BF409B"/>
    <w:rsid w:val="00BF7416"/>
    <w:rsid w:val="00C003D8"/>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3BAE"/>
    <w:rsid w:val="00C847F6"/>
    <w:rsid w:val="00C851E8"/>
    <w:rsid w:val="00C8594E"/>
    <w:rsid w:val="00C90D7D"/>
    <w:rsid w:val="00C90F25"/>
    <w:rsid w:val="00C9156C"/>
    <w:rsid w:val="00C92932"/>
    <w:rsid w:val="00C9410C"/>
    <w:rsid w:val="00C94219"/>
    <w:rsid w:val="00C955C6"/>
    <w:rsid w:val="00C978E4"/>
    <w:rsid w:val="00CA68E2"/>
    <w:rsid w:val="00CA6964"/>
    <w:rsid w:val="00CA6CCB"/>
    <w:rsid w:val="00CA7CB8"/>
    <w:rsid w:val="00CB2E7B"/>
    <w:rsid w:val="00CB6B55"/>
    <w:rsid w:val="00CC0792"/>
    <w:rsid w:val="00CC0FDF"/>
    <w:rsid w:val="00CC5C28"/>
    <w:rsid w:val="00CC5D0C"/>
    <w:rsid w:val="00CC736B"/>
    <w:rsid w:val="00CC74B6"/>
    <w:rsid w:val="00CD1028"/>
    <w:rsid w:val="00CD3D54"/>
    <w:rsid w:val="00CD45BC"/>
    <w:rsid w:val="00CD633A"/>
    <w:rsid w:val="00CD7C32"/>
    <w:rsid w:val="00CE2C0D"/>
    <w:rsid w:val="00CE3842"/>
    <w:rsid w:val="00CF2B06"/>
    <w:rsid w:val="00CF3C24"/>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06C6"/>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16F69"/>
    <w:rsid w:val="00E21809"/>
    <w:rsid w:val="00E240A1"/>
    <w:rsid w:val="00E257AD"/>
    <w:rsid w:val="00E32087"/>
    <w:rsid w:val="00E3306F"/>
    <w:rsid w:val="00E36ED5"/>
    <w:rsid w:val="00E37166"/>
    <w:rsid w:val="00E419B2"/>
    <w:rsid w:val="00E42435"/>
    <w:rsid w:val="00E50EAE"/>
    <w:rsid w:val="00E54CE8"/>
    <w:rsid w:val="00E5655F"/>
    <w:rsid w:val="00E56B43"/>
    <w:rsid w:val="00E571CD"/>
    <w:rsid w:val="00E60482"/>
    <w:rsid w:val="00E63F7A"/>
    <w:rsid w:val="00E66751"/>
    <w:rsid w:val="00E72303"/>
    <w:rsid w:val="00E75843"/>
    <w:rsid w:val="00E7714A"/>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102E"/>
    <w:rsid w:val="00EF2A44"/>
    <w:rsid w:val="00EF404C"/>
    <w:rsid w:val="00EF6D5B"/>
    <w:rsid w:val="00F0262F"/>
    <w:rsid w:val="00F10080"/>
    <w:rsid w:val="00F13551"/>
    <w:rsid w:val="00F13E43"/>
    <w:rsid w:val="00F2254B"/>
    <w:rsid w:val="00F25E6E"/>
    <w:rsid w:val="00F31846"/>
    <w:rsid w:val="00F32683"/>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35D0"/>
    <w:rsid w:val="00FC725F"/>
    <w:rsid w:val="00FC7B56"/>
    <w:rsid w:val="00FD6B75"/>
    <w:rsid w:val="00FE07CD"/>
    <w:rsid w:val="00FE1032"/>
    <w:rsid w:val="00FE3FB5"/>
    <w:rsid w:val="00FE7877"/>
    <w:rsid w:val="00FE7BEF"/>
    <w:rsid w:val="00FF0BA4"/>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
    <w:name w:val="Unresolved Mention"/>
    <w:basedOn w:val="DefaultParagraphFont"/>
    <w:uiPriority w:val="99"/>
    <w:semiHidden/>
    <w:unhideWhenUsed/>
    <w:rsid w:val="00E7714A"/>
    <w:rPr>
      <w:color w:val="605E5C"/>
      <w:shd w:val="clear" w:color="auto" w:fill="E1DFDD"/>
    </w:rPr>
  </w:style>
  <w:style w:type="paragraph" w:customStyle="1" w:styleId="Style1">
    <w:name w:val="Style1"/>
    <w:basedOn w:val="PlainText"/>
    <w:qFormat/>
    <w:rsid w:val="00292D33"/>
    <w:rPr>
      <w:rFonts w:ascii="Cambria" w:eastAsia="Times New Roman" w:hAnsi="Cambria" w:cs="Arial"/>
      <w:b/>
      <w:bCs/>
      <w:noProof/>
      <w:color w:val="E36C0A" w:themeColor="accent6" w:themeShade="BF"/>
      <w:sz w:val="36"/>
      <w:szCs w:val="36"/>
      <w:lang w:val="en-GB" w:eastAsia="zh-CN"/>
    </w:rPr>
  </w:style>
  <w:style w:type="paragraph" w:customStyle="1" w:styleId="Style2">
    <w:name w:val="Style2"/>
    <w:basedOn w:val="Normal"/>
    <w:qFormat/>
    <w:rsid w:val="00292D33"/>
    <w:pPr>
      <w:shd w:val="clear" w:color="auto" w:fill="FFFFFF"/>
      <w:spacing w:after="150"/>
    </w:pPr>
    <w:rPr>
      <w:rFonts w:cs="Arial"/>
      <w:sz w:val="22"/>
      <w:lang w:eastAsia="en-GB"/>
    </w:rPr>
  </w:style>
  <w:style w:type="character" w:customStyle="1" w:styleId="FootnoteTextChar1">
    <w:name w:val="Footnote Text Char1"/>
    <w:basedOn w:val="DefaultParagraphFont"/>
    <w:uiPriority w:val="99"/>
    <w:semiHidden/>
    <w:rsid w:val="00292D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right-to-food/resources/rtf-methodological-toolbox/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o.org/right-to-food/resources/rtf-handbooks/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o.org/right-to-food/resources/resources-detail/es/c/12381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o.org/3/y7937s/y7937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fsnforum.fao.org/public/files/ES_Template_Righ%20to%20Food%20Call.doc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www.fao.org/fsnforum/es/call-submissions/20th-anniversary-right-foo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DA5B7-2510-414A-AD65-D3701332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915</Words>
  <Characters>5220</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6123</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Livinets, Svetlana (ESA)</cp:lastModifiedBy>
  <cp:revision>12</cp:revision>
  <cp:lastPrinted>2015-10-06T13:23:00Z</cp:lastPrinted>
  <dcterms:created xsi:type="dcterms:W3CDTF">2023-05-15T07:26:00Z</dcterms:created>
  <dcterms:modified xsi:type="dcterms:W3CDTF">2023-05-15T08:24:00Z</dcterms:modified>
</cp:coreProperties>
</file>