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6E2" w:rsidRPr="00E045C0" w:rsidRDefault="00B07DB8">
      <w:pPr>
        <w:rPr>
          <w:color w:val="000000"/>
          <w:shd w:val="clear" w:color="auto" w:fill="FFFFFF"/>
        </w:rPr>
      </w:pPr>
      <w:r w:rsidRPr="00E045C0">
        <w:rPr>
          <w:color w:val="000000"/>
          <w:shd w:val="clear" w:color="auto" w:fill="FFFFFF"/>
        </w:rPr>
        <w:t>Thank you for the invitation to add to the discussion on the Issues’ Note on Nutrition and Food Systems.</w:t>
      </w:r>
      <w:r w:rsidRPr="00E045C0">
        <w:rPr>
          <w:color w:val="000000"/>
          <w:shd w:val="clear" w:color="auto" w:fill="FFFFFF"/>
        </w:rPr>
        <w:t xml:space="preserve"> I have the following comments for consideration by the HLPE in this report:</w:t>
      </w:r>
    </w:p>
    <w:p w:rsidR="00B07DB8" w:rsidRPr="00E045C0" w:rsidRDefault="00B07DB8">
      <w:pPr>
        <w:rPr>
          <w:color w:val="000000"/>
          <w:shd w:val="clear" w:color="auto" w:fill="FFFFFF"/>
        </w:rPr>
      </w:pPr>
    </w:p>
    <w:p w:rsidR="00E045C0" w:rsidRDefault="00B07DB8" w:rsidP="00E045C0">
      <w:pPr>
        <w:pStyle w:val="ListParagraph"/>
        <w:numPr>
          <w:ilvl w:val="0"/>
          <w:numId w:val="1"/>
        </w:numPr>
        <w:rPr>
          <w:color w:val="000000"/>
        </w:rPr>
      </w:pPr>
      <w:r w:rsidRPr="00E045C0">
        <w:t xml:space="preserve">The large and very influential role of corporate concentration, commercial marketing and processed food development </w:t>
      </w:r>
      <w:r w:rsidR="00696565" w:rsidRPr="00E045C0">
        <w:t>must be analyzed head on</w:t>
      </w:r>
      <w:r w:rsidRPr="00E045C0">
        <w:t>.</w:t>
      </w:r>
      <w:r w:rsidR="00696565" w:rsidRPr="00E045C0">
        <w:t xml:space="preserve"> There may in fact be unavoidable trade-offs between current systems and profits and improved nutrition (see </w:t>
      </w:r>
      <w:r w:rsidR="00E045C0">
        <w:t>note on Smith et al. 2013)</w:t>
      </w:r>
      <w:r w:rsidR="00696565" w:rsidRPr="00E045C0">
        <w:t>.</w:t>
      </w:r>
      <w:r w:rsidR="00EA36D4">
        <w:t xml:space="preserve"> The literature on these issues is </w:t>
      </w:r>
      <w:r w:rsidRPr="00E045C0">
        <w:t>extensive. See</w:t>
      </w:r>
      <w:r w:rsidR="00696565" w:rsidRPr="00E045C0">
        <w:t xml:space="preserve"> Hendrickson (2015); Howard (2016); </w:t>
      </w:r>
      <w:r w:rsidR="00D43C19">
        <w:t xml:space="preserve">Lang et al. (2009); </w:t>
      </w:r>
      <w:r w:rsidR="00696565" w:rsidRPr="00E045C0">
        <w:t>Moss (2013); Nestle (2013); and Smith et al. (2013).</w:t>
      </w:r>
      <w:r w:rsidR="00696565" w:rsidRPr="00E045C0">
        <w:rPr>
          <w:color w:val="000000"/>
        </w:rPr>
        <w:t xml:space="preserve"> </w:t>
      </w:r>
      <w:r w:rsidR="00E251F9">
        <w:rPr>
          <w:color w:val="000000"/>
        </w:rPr>
        <w:t>The power of commercials and corporate influence (for instance, on what is served in schools) are obviously important influences on how diets change, yet is rarely addressed directly in many analyses and scenario projections.</w:t>
      </w:r>
    </w:p>
    <w:p w:rsidR="00B07DB8" w:rsidRPr="00E045C0" w:rsidRDefault="00990934" w:rsidP="00E045C0">
      <w:pPr>
        <w:pStyle w:val="ListParagraph"/>
        <w:numPr>
          <w:ilvl w:val="1"/>
          <w:numId w:val="1"/>
        </w:numPr>
        <w:rPr>
          <w:color w:val="000000"/>
        </w:rPr>
      </w:pPr>
      <w:r w:rsidRPr="00E045C0">
        <w:rPr>
          <w:color w:val="000000"/>
        </w:rPr>
        <w:t>Smith et al.’s conclusions are of especial note, particularly with regards to profit and regulatory capture (albeit in a US context): “[…</w:t>
      </w:r>
      <w:proofErr w:type="gramStart"/>
      <w:r w:rsidRPr="00E045C0">
        <w:rPr>
          <w:color w:val="000000"/>
        </w:rPr>
        <w:t>]</w:t>
      </w:r>
      <w:r w:rsidRPr="00E045C0">
        <w:rPr>
          <w:color w:val="000000"/>
        </w:rPr>
        <w:t>We</w:t>
      </w:r>
      <w:proofErr w:type="gramEnd"/>
      <w:r w:rsidRPr="00E045C0">
        <w:rPr>
          <w:color w:val="000000"/>
        </w:rPr>
        <w:t xml:space="preserve"> ask whether the current state of affairs represents a market failure, and—if so—what might be done about it. We argue that while today’s industrial food system has its advantages, the asymmetric information problems inherent to this system have resulted in a “lemons-style” breakdown in the market for processed foods. The appropriate policy response to such situations (namely, verifiable quality standards) is well known, but such policies are likely (in the short run) to reduce profits for existing large industrial producers of food. In light of the food industry’s long history of success at regulatory capture, we propose the formation of a new independent food standards agency devoted to protecting the interests of the American consumer.</w:t>
      </w:r>
      <w:r w:rsidRPr="00E045C0">
        <w:rPr>
          <w:color w:val="000000"/>
        </w:rPr>
        <w:t>”</w:t>
      </w:r>
    </w:p>
    <w:p w:rsidR="00E045C0" w:rsidRPr="00E045C0" w:rsidRDefault="00696565" w:rsidP="00E045C0">
      <w:pPr>
        <w:pStyle w:val="NormalWeb"/>
        <w:numPr>
          <w:ilvl w:val="0"/>
          <w:numId w:val="1"/>
        </w:numPr>
        <w:shd w:val="clear" w:color="auto" w:fill="FFFFFF"/>
        <w:spacing w:after="0" w:afterAutospacing="0"/>
        <w:ind w:right="75"/>
        <w:rPr>
          <w:rFonts w:asciiTheme="minorHAnsi" w:hAnsiTheme="minorHAnsi"/>
          <w:i/>
          <w:color w:val="000000"/>
          <w:sz w:val="22"/>
          <w:szCs w:val="22"/>
        </w:rPr>
      </w:pPr>
      <w:r w:rsidRPr="00E045C0">
        <w:rPr>
          <w:rFonts w:asciiTheme="minorHAnsi" w:hAnsiTheme="minorHAnsi"/>
          <w:color w:val="000000"/>
          <w:sz w:val="22"/>
          <w:szCs w:val="22"/>
        </w:rPr>
        <w:t xml:space="preserve">The fact of persistent and large negative externalities—particularly health externalities, both direct and indirect—must be taken into account when evaluating current and alternative food systems. It makes no sense, for example, to refer to current systems as “efficient” in the presence of large, </w:t>
      </w:r>
      <w:proofErr w:type="spellStart"/>
      <w:r w:rsidRPr="00E045C0">
        <w:rPr>
          <w:rFonts w:asciiTheme="minorHAnsi" w:hAnsiTheme="minorHAnsi"/>
          <w:color w:val="000000"/>
          <w:sz w:val="22"/>
          <w:szCs w:val="22"/>
        </w:rPr>
        <w:t>uninternalized</w:t>
      </w:r>
      <w:proofErr w:type="spellEnd"/>
      <w:r w:rsidRPr="00E045C0">
        <w:rPr>
          <w:rFonts w:asciiTheme="minorHAnsi" w:hAnsiTheme="minorHAnsi"/>
          <w:color w:val="000000"/>
          <w:sz w:val="22"/>
          <w:szCs w:val="22"/>
        </w:rPr>
        <w:t xml:space="preserve"> externalities.</w:t>
      </w:r>
      <w:r w:rsidR="00E045C0">
        <w:rPr>
          <w:rFonts w:asciiTheme="minorHAnsi" w:hAnsiTheme="minorHAnsi"/>
          <w:color w:val="000000"/>
          <w:sz w:val="22"/>
          <w:szCs w:val="22"/>
        </w:rPr>
        <w:t xml:space="preserve"> (FAO 2015; Pretty et al. 2001)</w:t>
      </w:r>
      <w:r w:rsidR="00EA36D4">
        <w:rPr>
          <w:rFonts w:asciiTheme="minorHAnsi" w:hAnsiTheme="minorHAnsi"/>
          <w:color w:val="000000"/>
          <w:sz w:val="22"/>
          <w:szCs w:val="22"/>
        </w:rPr>
        <w:t>. Further, the possibility of raising food prices to send appropriate signals about the costs of different foods and production systems, while politically unpopular, should be considered. It is, in fact, one way that “diets change</w:t>
      </w:r>
      <w:r w:rsidR="00E251F9">
        <w:rPr>
          <w:rFonts w:asciiTheme="minorHAnsi" w:hAnsiTheme="minorHAnsi"/>
          <w:color w:val="000000"/>
          <w:sz w:val="22"/>
          <w:szCs w:val="22"/>
        </w:rPr>
        <w:t xml:space="preserve">,” and the many projections of future demand for, for example, meat from ruminants appears to me to be economically and ecologically incoherent and untenable without envisioning the internalization of </w:t>
      </w:r>
      <w:r w:rsidR="00E251F9">
        <w:rPr>
          <w:rFonts w:asciiTheme="minorHAnsi" w:hAnsiTheme="minorHAnsi"/>
          <w:i/>
          <w:color w:val="000000"/>
          <w:sz w:val="22"/>
          <w:szCs w:val="22"/>
        </w:rPr>
        <w:t>known</w:t>
      </w:r>
      <w:r w:rsidR="00E251F9">
        <w:rPr>
          <w:rFonts w:asciiTheme="minorHAnsi" w:hAnsiTheme="minorHAnsi"/>
          <w:color w:val="000000"/>
          <w:sz w:val="22"/>
          <w:szCs w:val="22"/>
        </w:rPr>
        <w:t xml:space="preserve"> costs and risks into prices. See also </w:t>
      </w:r>
      <w:r w:rsidR="00E251F9">
        <w:rPr>
          <w:rFonts w:asciiTheme="minorHAnsi" w:hAnsiTheme="minorHAnsi"/>
          <w:color w:val="000000"/>
          <w:sz w:val="22"/>
          <w:szCs w:val="22"/>
          <w:u w:val="single"/>
        </w:rPr>
        <w:t>point 8</w:t>
      </w:r>
      <w:r w:rsidR="00E251F9">
        <w:rPr>
          <w:rFonts w:asciiTheme="minorHAnsi" w:hAnsiTheme="minorHAnsi"/>
          <w:color w:val="000000"/>
          <w:sz w:val="22"/>
          <w:szCs w:val="22"/>
        </w:rPr>
        <w:t xml:space="preserve"> on possible effects of (higher) food prices.</w:t>
      </w:r>
    </w:p>
    <w:p w:rsidR="00E045C0" w:rsidRPr="0006796B" w:rsidRDefault="00E045C0" w:rsidP="00E045C0">
      <w:pPr>
        <w:pStyle w:val="NormalWeb"/>
        <w:numPr>
          <w:ilvl w:val="0"/>
          <w:numId w:val="1"/>
        </w:numPr>
        <w:shd w:val="clear" w:color="auto" w:fill="FFFFFF"/>
        <w:spacing w:after="0" w:afterAutospacing="0"/>
        <w:ind w:right="75"/>
        <w:rPr>
          <w:rFonts w:asciiTheme="minorHAnsi" w:hAnsiTheme="minorHAnsi"/>
          <w:i/>
          <w:color w:val="000000"/>
          <w:sz w:val="22"/>
          <w:szCs w:val="22"/>
        </w:rPr>
      </w:pPr>
      <w:r>
        <w:rPr>
          <w:rFonts w:asciiTheme="minorHAnsi" w:hAnsiTheme="minorHAnsi"/>
          <w:color w:val="000000"/>
          <w:sz w:val="22"/>
          <w:szCs w:val="22"/>
        </w:rPr>
        <w:t>The fact that, with few exceptions, plant breeding has not focused on nutrition, and there is some evidence of nutritional losses in cultivars over time, should be addressed. (</w:t>
      </w:r>
      <w:r w:rsidR="0006796B">
        <w:rPr>
          <w:rFonts w:asciiTheme="minorHAnsi" w:hAnsiTheme="minorHAnsi"/>
          <w:color w:val="000000"/>
          <w:sz w:val="22"/>
          <w:szCs w:val="22"/>
        </w:rPr>
        <w:t>e.g. Davis 2009)</w:t>
      </w:r>
    </w:p>
    <w:p w:rsidR="00696565" w:rsidRPr="00832C5E" w:rsidRDefault="0006796B" w:rsidP="00696565">
      <w:pPr>
        <w:pStyle w:val="NormalWeb"/>
        <w:numPr>
          <w:ilvl w:val="0"/>
          <w:numId w:val="1"/>
        </w:numPr>
        <w:shd w:val="clear" w:color="auto" w:fill="FFFFFF"/>
        <w:spacing w:after="0" w:afterAutospacing="0"/>
        <w:ind w:right="75"/>
        <w:rPr>
          <w:rFonts w:asciiTheme="minorHAnsi" w:hAnsiTheme="minorHAnsi"/>
          <w:i/>
          <w:color w:val="000000"/>
          <w:sz w:val="22"/>
          <w:szCs w:val="22"/>
        </w:rPr>
      </w:pPr>
      <w:r>
        <w:rPr>
          <w:rFonts w:asciiTheme="minorHAnsi" w:hAnsiTheme="minorHAnsi"/>
          <w:color w:val="000000"/>
          <w:sz w:val="22"/>
          <w:szCs w:val="22"/>
        </w:rPr>
        <w:t>As acknowledged in multiple sources</w:t>
      </w:r>
      <w:r w:rsidR="00870D8C">
        <w:rPr>
          <w:rFonts w:asciiTheme="minorHAnsi" w:hAnsiTheme="minorHAnsi"/>
          <w:color w:val="000000"/>
          <w:sz w:val="22"/>
          <w:szCs w:val="22"/>
        </w:rPr>
        <w:t xml:space="preserve">, gender equality and women’s rights should be a central feature of the analysis on nutrition, e.g. </w:t>
      </w:r>
      <w:r w:rsidR="00530753">
        <w:rPr>
          <w:rFonts w:asciiTheme="minorHAnsi" w:hAnsiTheme="minorHAnsi"/>
          <w:color w:val="000000"/>
          <w:sz w:val="22"/>
          <w:szCs w:val="22"/>
        </w:rPr>
        <w:t>Agarwal (2015); Bezner Kerr et al. (2007); Bezner Kerr et al. (2011); Bezner Kerr et al. (2013)</w:t>
      </w:r>
      <w:r w:rsidR="009B542F">
        <w:rPr>
          <w:rFonts w:asciiTheme="minorHAnsi" w:hAnsiTheme="minorHAnsi"/>
          <w:color w:val="000000"/>
          <w:sz w:val="22"/>
          <w:szCs w:val="22"/>
        </w:rPr>
        <w:t>;</w:t>
      </w:r>
      <w:r w:rsidR="00530753">
        <w:rPr>
          <w:rFonts w:asciiTheme="minorHAnsi" w:hAnsiTheme="minorHAnsi"/>
          <w:color w:val="000000"/>
          <w:sz w:val="22"/>
          <w:szCs w:val="22"/>
        </w:rPr>
        <w:t xml:space="preserve"> Jones et al. (2014); Smith et al. (2003); and </w:t>
      </w:r>
      <w:r w:rsidR="009B542F">
        <w:rPr>
          <w:rFonts w:asciiTheme="minorHAnsi" w:hAnsiTheme="minorHAnsi"/>
          <w:color w:val="000000"/>
          <w:sz w:val="22"/>
          <w:szCs w:val="22"/>
        </w:rPr>
        <w:t xml:space="preserve">Smith and Haddad (2015); see also the FAO </w:t>
      </w:r>
      <w:r w:rsidR="009B542F" w:rsidRPr="009B542F">
        <w:rPr>
          <w:rFonts w:asciiTheme="minorHAnsi" w:hAnsiTheme="minorHAnsi"/>
          <w:i/>
          <w:iCs/>
          <w:color w:val="000000"/>
          <w:sz w:val="22"/>
          <w:szCs w:val="22"/>
        </w:rPr>
        <w:t>Key recommendations for improving nutrition through agriculture and food systems</w:t>
      </w:r>
      <w:r w:rsidR="009B542F">
        <w:rPr>
          <w:rFonts w:asciiTheme="minorHAnsi" w:hAnsiTheme="minorHAnsi"/>
          <w:i/>
          <w:color w:val="000000"/>
          <w:sz w:val="22"/>
          <w:szCs w:val="22"/>
        </w:rPr>
        <w:t xml:space="preserve">, </w:t>
      </w:r>
      <w:r w:rsidR="00832C5E">
        <w:rPr>
          <w:rFonts w:asciiTheme="minorHAnsi" w:hAnsiTheme="minorHAnsi"/>
          <w:color w:val="000000"/>
          <w:sz w:val="22"/>
          <w:szCs w:val="22"/>
        </w:rPr>
        <w:t>which includes the point</w:t>
      </w:r>
      <w:r w:rsidR="009B542F">
        <w:rPr>
          <w:rFonts w:asciiTheme="minorHAnsi" w:hAnsiTheme="minorHAnsi"/>
          <w:color w:val="000000"/>
          <w:sz w:val="22"/>
          <w:szCs w:val="22"/>
        </w:rPr>
        <w:t xml:space="preserve"> for programs and investments “</w:t>
      </w:r>
      <w:r w:rsidR="00832C5E">
        <w:rPr>
          <w:rFonts w:asciiTheme="minorHAnsi" w:hAnsiTheme="minorHAnsi"/>
          <w:color w:val="000000"/>
          <w:sz w:val="22"/>
          <w:szCs w:val="22"/>
        </w:rPr>
        <w:t>Empower women” a</w:t>
      </w:r>
      <w:r w:rsidR="009B542F">
        <w:rPr>
          <w:rFonts w:asciiTheme="minorHAnsi" w:hAnsiTheme="minorHAnsi"/>
          <w:color w:val="000000"/>
          <w:sz w:val="22"/>
          <w:szCs w:val="22"/>
        </w:rPr>
        <w:t xml:space="preserve">nd </w:t>
      </w:r>
      <w:r w:rsidR="00832C5E">
        <w:rPr>
          <w:rFonts w:asciiTheme="minorHAnsi" w:hAnsiTheme="minorHAnsi"/>
          <w:color w:val="000000"/>
          <w:sz w:val="22"/>
          <w:szCs w:val="22"/>
        </w:rPr>
        <w:t>the point</w:t>
      </w:r>
      <w:r w:rsidR="009B542F">
        <w:rPr>
          <w:rFonts w:asciiTheme="minorHAnsi" w:hAnsiTheme="minorHAnsi"/>
          <w:color w:val="000000"/>
          <w:sz w:val="22"/>
          <w:szCs w:val="22"/>
        </w:rPr>
        <w:t xml:space="preserve"> for policies “</w:t>
      </w:r>
      <w:r w:rsidR="00832C5E" w:rsidRPr="00832C5E">
        <w:rPr>
          <w:rFonts w:asciiTheme="minorHAnsi" w:hAnsiTheme="minorHAnsi"/>
          <w:color w:val="000000"/>
          <w:sz w:val="22"/>
          <w:szCs w:val="22"/>
        </w:rPr>
        <w:t>Include measures that protect and empower the poor and women.</w:t>
      </w:r>
      <w:r w:rsidR="00832C5E">
        <w:rPr>
          <w:rFonts w:asciiTheme="minorHAnsi" w:hAnsiTheme="minorHAnsi"/>
          <w:color w:val="000000"/>
          <w:sz w:val="22"/>
          <w:szCs w:val="22"/>
        </w:rPr>
        <w:t>”</w:t>
      </w:r>
    </w:p>
    <w:p w:rsidR="00832C5E" w:rsidRPr="00832C5E" w:rsidRDefault="00832C5E" w:rsidP="00696565">
      <w:pPr>
        <w:pStyle w:val="NormalWeb"/>
        <w:numPr>
          <w:ilvl w:val="0"/>
          <w:numId w:val="1"/>
        </w:numPr>
        <w:shd w:val="clear" w:color="auto" w:fill="FFFFFF"/>
        <w:spacing w:after="0" w:afterAutospacing="0"/>
        <w:ind w:right="75"/>
        <w:rPr>
          <w:rFonts w:asciiTheme="minorHAnsi" w:hAnsiTheme="minorHAnsi"/>
          <w:i/>
          <w:color w:val="000000"/>
          <w:sz w:val="22"/>
          <w:szCs w:val="22"/>
        </w:rPr>
      </w:pPr>
      <w:r>
        <w:rPr>
          <w:rFonts w:asciiTheme="minorHAnsi" w:hAnsiTheme="minorHAnsi"/>
          <w:color w:val="000000"/>
          <w:sz w:val="22"/>
          <w:szCs w:val="22"/>
        </w:rPr>
        <w:t xml:space="preserve">The constraints placed on many countries with regards to providing food and nutrition security for their own populations must be addressed, and in fact, prioritized above simple economic </w:t>
      </w:r>
      <w:r>
        <w:rPr>
          <w:rFonts w:asciiTheme="minorHAnsi" w:hAnsiTheme="minorHAnsi"/>
          <w:color w:val="000000"/>
          <w:sz w:val="22"/>
          <w:szCs w:val="22"/>
        </w:rPr>
        <w:lastRenderedPageBreak/>
        <w:t xml:space="preserve">returns and trade considerations for corporations—which was </w:t>
      </w:r>
      <w:r>
        <w:rPr>
          <w:rFonts w:asciiTheme="minorHAnsi" w:hAnsiTheme="minorHAnsi"/>
          <w:i/>
          <w:color w:val="000000"/>
          <w:sz w:val="22"/>
          <w:szCs w:val="22"/>
        </w:rPr>
        <w:t>not</w:t>
      </w:r>
      <w:r>
        <w:rPr>
          <w:rFonts w:asciiTheme="minorHAnsi" w:hAnsiTheme="minorHAnsi"/>
          <w:color w:val="000000"/>
          <w:sz w:val="22"/>
          <w:szCs w:val="22"/>
        </w:rPr>
        <w:t xml:space="preserve"> done during the formation of the FAO, as McKeon (2014) elaborates. See also Weis (2007) for a discussion of the impacts of the Agreement on Agriculture.</w:t>
      </w:r>
    </w:p>
    <w:p w:rsidR="00832C5E" w:rsidRPr="006F5716" w:rsidRDefault="00832C5E" w:rsidP="00696565">
      <w:pPr>
        <w:pStyle w:val="NormalWeb"/>
        <w:numPr>
          <w:ilvl w:val="0"/>
          <w:numId w:val="1"/>
        </w:numPr>
        <w:shd w:val="clear" w:color="auto" w:fill="FFFFFF"/>
        <w:spacing w:after="0" w:afterAutospacing="0"/>
        <w:ind w:right="75"/>
        <w:rPr>
          <w:rFonts w:asciiTheme="minorHAnsi" w:hAnsiTheme="minorHAnsi"/>
          <w:i/>
          <w:color w:val="000000"/>
          <w:sz w:val="22"/>
          <w:szCs w:val="22"/>
        </w:rPr>
      </w:pPr>
      <w:r>
        <w:rPr>
          <w:rFonts w:asciiTheme="minorHAnsi" w:hAnsiTheme="minorHAnsi"/>
          <w:color w:val="000000"/>
          <w:sz w:val="22"/>
          <w:szCs w:val="22"/>
        </w:rPr>
        <w:t xml:space="preserve">The growing literature on connections between crop diversity and dietary diversity should be amply explored; e.g. Burlingame and </w:t>
      </w:r>
      <w:proofErr w:type="spellStart"/>
      <w:r>
        <w:rPr>
          <w:rFonts w:asciiTheme="minorHAnsi" w:hAnsiTheme="minorHAnsi"/>
          <w:color w:val="000000"/>
          <w:sz w:val="22"/>
          <w:szCs w:val="22"/>
        </w:rPr>
        <w:t>Dernini</w:t>
      </w:r>
      <w:proofErr w:type="spellEnd"/>
      <w:r>
        <w:rPr>
          <w:rFonts w:asciiTheme="minorHAnsi" w:hAnsiTheme="minorHAnsi"/>
          <w:color w:val="000000"/>
          <w:sz w:val="22"/>
          <w:szCs w:val="22"/>
        </w:rPr>
        <w:t xml:space="preserve"> (2012); with the contexts of food sovereignty and autonomy considered alongside</w:t>
      </w:r>
      <w:r w:rsidR="006F5716">
        <w:rPr>
          <w:rFonts w:asciiTheme="minorHAnsi" w:hAnsiTheme="minorHAnsi"/>
          <w:color w:val="000000"/>
          <w:sz w:val="22"/>
          <w:szCs w:val="22"/>
        </w:rPr>
        <w:t>.</w:t>
      </w:r>
    </w:p>
    <w:p w:rsidR="006F5716" w:rsidRPr="00D43C19" w:rsidRDefault="006F5716" w:rsidP="00696565">
      <w:pPr>
        <w:pStyle w:val="NormalWeb"/>
        <w:numPr>
          <w:ilvl w:val="0"/>
          <w:numId w:val="1"/>
        </w:numPr>
        <w:shd w:val="clear" w:color="auto" w:fill="FFFFFF"/>
        <w:spacing w:after="0" w:afterAutospacing="0"/>
        <w:ind w:right="75"/>
        <w:rPr>
          <w:rFonts w:asciiTheme="minorHAnsi" w:hAnsiTheme="minorHAnsi"/>
          <w:i/>
          <w:color w:val="000000"/>
          <w:sz w:val="22"/>
          <w:szCs w:val="22"/>
        </w:rPr>
      </w:pPr>
      <w:r>
        <w:rPr>
          <w:rFonts w:asciiTheme="minorHAnsi" w:hAnsiTheme="minorHAnsi"/>
          <w:color w:val="000000"/>
          <w:sz w:val="22"/>
          <w:szCs w:val="22"/>
        </w:rPr>
        <w:t xml:space="preserve">The growing realization of the importance of dietary diversity </w:t>
      </w:r>
      <w:r w:rsidR="00E251F9">
        <w:rPr>
          <w:rFonts w:asciiTheme="minorHAnsi" w:hAnsiTheme="minorHAnsi"/>
          <w:i/>
          <w:color w:val="000000"/>
          <w:sz w:val="22"/>
          <w:szCs w:val="22"/>
        </w:rPr>
        <w:t xml:space="preserve">per se </w:t>
      </w:r>
      <w:r>
        <w:rPr>
          <w:rFonts w:asciiTheme="minorHAnsi" w:hAnsiTheme="minorHAnsi"/>
          <w:color w:val="000000"/>
          <w:sz w:val="22"/>
          <w:szCs w:val="22"/>
        </w:rPr>
        <w:t>should be addressed, e.g. Smith and Haddad 2015; Heady and Ecker (2013).</w:t>
      </w:r>
    </w:p>
    <w:p w:rsidR="00D43C19" w:rsidRPr="00830443" w:rsidRDefault="00D43C19" w:rsidP="00696565">
      <w:pPr>
        <w:pStyle w:val="NormalWeb"/>
        <w:numPr>
          <w:ilvl w:val="0"/>
          <w:numId w:val="1"/>
        </w:numPr>
        <w:shd w:val="clear" w:color="auto" w:fill="FFFFFF"/>
        <w:spacing w:after="0" w:afterAutospacing="0"/>
        <w:ind w:right="75"/>
        <w:rPr>
          <w:rFonts w:asciiTheme="minorHAnsi" w:hAnsiTheme="minorHAnsi"/>
          <w:i/>
          <w:color w:val="000000"/>
          <w:sz w:val="22"/>
          <w:szCs w:val="22"/>
        </w:rPr>
      </w:pPr>
      <w:r>
        <w:rPr>
          <w:rFonts w:asciiTheme="minorHAnsi" w:hAnsiTheme="minorHAnsi"/>
          <w:color w:val="000000"/>
          <w:sz w:val="22"/>
          <w:szCs w:val="22"/>
        </w:rPr>
        <w:t xml:space="preserve">A sophisticated analysis of </w:t>
      </w:r>
      <w:r w:rsidR="00C91313">
        <w:rPr>
          <w:rFonts w:asciiTheme="minorHAnsi" w:hAnsiTheme="minorHAnsi"/>
          <w:color w:val="000000"/>
          <w:sz w:val="22"/>
          <w:szCs w:val="22"/>
        </w:rPr>
        <w:t xml:space="preserve">nutrition, </w:t>
      </w:r>
      <w:r>
        <w:rPr>
          <w:rFonts w:asciiTheme="minorHAnsi" w:hAnsiTheme="minorHAnsi"/>
          <w:color w:val="000000"/>
          <w:sz w:val="22"/>
          <w:szCs w:val="22"/>
        </w:rPr>
        <w:t xml:space="preserve">production, productivity, and </w:t>
      </w:r>
      <w:r>
        <w:rPr>
          <w:rFonts w:asciiTheme="minorHAnsi" w:hAnsiTheme="minorHAnsi"/>
          <w:i/>
          <w:color w:val="000000"/>
          <w:sz w:val="22"/>
          <w:szCs w:val="22"/>
        </w:rPr>
        <w:t>prices</w:t>
      </w:r>
      <w:r>
        <w:rPr>
          <w:rFonts w:asciiTheme="minorHAnsi" w:hAnsiTheme="minorHAnsi"/>
          <w:color w:val="000000"/>
          <w:sz w:val="22"/>
          <w:szCs w:val="22"/>
        </w:rPr>
        <w:t xml:space="preserve"> must be undertaken. While there has long been an assumption that increasing productivity for farmers will increase their well-being</w:t>
      </w:r>
      <w:r w:rsidR="00C91313">
        <w:rPr>
          <w:rFonts w:asciiTheme="minorHAnsi" w:hAnsiTheme="minorHAnsi"/>
          <w:color w:val="000000"/>
          <w:sz w:val="22"/>
          <w:szCs w:val="22"/>
        </w:rPr>
        <w:t>, nutrition,</w:t>
      </w:r>
      <w:r>
        <w:rPr>
          <w:rFonts w:asciiTheme="minorHAnsi" w:hAnsiTheme="minorHAnsi"/>
          <w:color w:val="000000"/>
          <w:sz w:val="22"/>
          <w:szCs w:val="22"/>
        </w:rPr>
        <w:t xml:space="preserve"> and income, the possibility that higher prices is equally or more important or effective is seldom seriously addressed. But contemporary analyses and re-analyses of earlier data have solidly </w:t>
      </w:r>
      <w:r w:rsidR="00E251F9">
        <w:rPr>
          <w:rFonts w:asciiTheme="minorHAnsi" w:hAnsiTheme="minorHAnsi"/>
          <w:color w:val="000000"/>
          <w:sz w:val="22"/>
          <w:szCs w:val="22"/>
        </w:rPr>
        <w:t xml:space="preserve">(though arguably not yet </w:t>
      </w:r>
      <w:proofErr w:type="spellStart"/>
      <w:r w:rsidR="00E251F9">
        <w:rPr>
          <w:rFonts w:asciiTheme="minorHAnsi" w:hAnsiTheme="minorHAnsi"/>
          <w:color w:val="000000"/>
          <w:sz w:val="22"/>
          <w:szCs w:val="22"/>
        </w:rPr>
        <w:t>conclusivelyl</w:t>
      </w:r>
      <w:proofErr w:type="spellEnd"/>
      <w:r w:rsidR="00E251F9">
        <w:rPr>
          <w:rFonts w:asciiTheme="minorHAnsi" w:hAnsiTheme="minorHAnsi"/>
          <w:color w:val="000000"/>
          <w:sz w:val="22"/>
          <w:szCs w:val="22"/>
        </w:rPr>
        <w:t xml:space="preserve">) </w:t>
      </w:r>
      <w:r>
        <w:rPr>
          <w:rFonts w:asciiTheme="minorHAnsi" w:hAnsiTheme="minorHAnsi"/>
          <w:color w:val="000000"/>
          <w:sz w:val="22"/>
          <w:szCs w:val="22"/>
        </w:rPr>
        <w:t>shown that higher food prices may in fact be better for farmers, and indeed, may drive up urban and rural wages (and therefore improve the possibilities for food and nutrition security);</w:t>
      </w:r>
      <w:r w:rsidR="00830443">
        <w:rPr>
          <w:rFonts w:asciiTheme="minorHAnsi" w:hAnsiTheme="minorHAnsi"/>
          <w:color w:val="000000"/>
          <w:sz w:val="22"/>
          <w:szCs w:val="22"/>
        </w:rPr>
        <w:t xml:space="preserve"> Headey </w:t>
      </w:r>
      <w:r w:rsidR="00C91313">
        <w:rPr>
          <w:rFonts w:asciiTheme="minorHAnsi" w:hAnsiTheme="minorHAnsi"/>
          <w:color w:val="000000"/>
          <w:sz w:val="22"/>
          <w:szCs w:val="22"/>
        </w:rPr>
        <w:t>(</w:t>
      </w:r>
      <w:r w:rsidR="00830443">
        <w:rPr>
          <w:rFonts w:asciiTheme="minorHAnsi" w:hAnsiTheme="minorHAnsi"/>
          <w:color w:val="000000"/>
          <w:sz w:val="22"/>
          <w:szCs w:val="22"/>
        </w:rPr>
        <w:t>2014</w:t>
      </w:r>
      <w:r w:rsidR="00C91313">
        <w:rPr>
          <w:rFonts w:asciiTheme="minorHAnsi" w:hAnsiTheme="minorHAnsi"/>
          <w:color w:val="000000"/>
          <w:sz w:val="22"/>
          <w:szCs w:val="22"/>
        </w:rPr>
        <w:t>)</w:t>
      </w:r>
      <w:r w:rsidR="00830443">
        <w:rPr>
          <w:rFonts w:asciiTheme="minorHAnsi" w:hAnsiTheme="minorHAnsi"/>
          <w:color w:val="000000"/>
          <w:sz w:val="22"/>
          <w:szCs w:val="22"/>
        </w:rPr>
        <w:t xml:space="preserve">; </w:t>
      </w:r>
      <w:proofErr w:type="spellStart"/>
      <w:r w:rsidR="00830443">
        <w:rPr>
          <w:rFonts w:asciiTheme="minorHAnsi" w:hAnsiTheme="minorHAnsi"/>
          <w:color w:val="000000"/>
          <w:sz w:val="22"/>
          <w:szCs w:val="22"/>
        </w:rPr>
        <w:t>Ivanic</w:t>
      </w:r>
      <w:proofErr w:type="spellEnd"/>
      <w:r w:rsidR="00830443">
        <w:rPr>
          <w:rFonts w:asciiTheme="minorHAnsi" w:hAnsiTheme="minorHAnsi"/>
          <w:color w:val="000000"/>
          <w:sz w:val="22"/>
          <w:szCs w:val="22"/>
        </w:rPr>
        <w:t xml:space="preserve"> and Will </w:t>
      </w:r>
      <w:r w:rsidR="00C91313">
        <w:rPr>
          <w:rFonts w:asciiTheme="minorHAnsi" w:hAnsiTheme="minorHAnsi"/>
          <w:color w:val="000000"/>
          <w:sz w:val="22"/>
          <w:szCs w:val="22"/>
        </w:rPr>
        <w:t>(</w:t>
      </w:r>
      <w:r w:rsidR="00830443">
        <w:rPr>
          <w:rFonts w:asciiTheme="minorHAnsi" w:hAnsiTheme="minorHAnsi"/>
          <w:color w:val="000000"/>
          <w:sz w:val="22"/>
          <w:szCs w:val="22"/>
        </w:rPr>
        <w:t>2014</w:t>
      </w:r>
      <w:r w:rsidR="00C91313">
        <w:rPr>
          <w:rFonts w:asciiTheme="minorHAnsi" w:hAnsiTheme="minorHAnsi"/>
          <w:color w:val="000000"/>
          <w:sz w:val="22"/>
          <w:szCs w:val="22"/>
        </w:rPr>
        <w:t>)</w:t>
      </w:r>
      <w:r w:rsidR="00830443">
        <w:rPr>
          <w:rFonts w:asciiTheme="minorHAnsi" w:hAnsiTheme="minorHAnsi"/>
          <w:color w:val="000000"/>
          <w:sz w:val="22"/>
          <w:szCs w:val="22"/>
        </w:rPr>
        <w:t>.</w:t>
      </w:r>
      <w:r w:rsidR="00C91313">
        <w:rPr>
          <w:rFonts w:asciiTheme="minorHAnsi" w:hAnsiTheme="minorHAnsi"/>
          <w:color w:val="000000"/>
          <w:sz w:val="22"/>
          <w:szCs w:val="22"/>
        </w:rPr>
        <w:t xml:space="preserve"> Therefore, the typical assumption of productivity </w:t>
      </w:r>
      <w:r w:rsidR="00C91313" w:rsidRPr="00C91313">
        <w:rPr>
          <w:rFonts w:asciiTheme="minorHAnsi" w:hAnsiTheme="minorHAnsi"/>
          <w:color w:val="000000"/>
          <w:sz w:val="22"/>
          <w:szCs w:val="22"/>
        </w:rPr>
        <w:sym w:font="Wingdings" w:char="F0E0"/>
      </w:r>
      <w:r w:rsidR="00C91313">
        <w:rPr>
          <w:rFonts w:asciiTheme="minorHAnsi" w:hAnsiTheme="minorHAnsi"/>
          <w:color w:val="000000"/>
          <w:sz w:val="22"/>
          <w:szCs w:val="22"/>
        </w:rPr>
        <w:t xml:space="preserve"> increased farmer income </w:t>
      </w:r>
      <w:r w:rsidR="00C91313" w:rsidRPr="00C91313">
        <w:rPr>
          <w:rFonts w:asciiTheme="minorHAnsi" w:hAnsiTheme="minorHAnsi"/>
          <w:color w:val="000000"/>
          <w:sz w:val="22"/>
          <w:szCs w:val="22"/>
        </w:rPr>
        <w:sym w:font="Wingdings" w:char="F0E0"/>
      </w:r>
      <w:r w:rsidR="00C91313">
        <w:rPr>
          <w:rFonts w:asciiTheme="minorHAnsi" w:hAnsiTheme="minorHAnsi"/>
          <w:color w:val="000000"/>
          <w:sz w:val="22"/>
          <w:szCs w:val="22"/>
        </w:rPr>
        <w:t xml:space="preserve"> lower food prices </w:t>
      </w:r>
      <w:r w:rsidR="00C91313" w:rsidRPr="00C91313">
        <w:rPr>
          <w:rFonts w:asciiTheme="minorHAnsi" w:hAnsiTheme="minorHAnsi"/>
          <w:color w:val="000000"/>
          <w:sz w:val="22"/>
          <w:szCs w:val="22"/>
        </w:rPr>
        <w:sym w:font="Wingdings" w:char="F0E0"/>
      </w:r>
      <w:r w:rsidR="00C91313">
        <w:rPr>
          <w:rFonts w:asciiTheme="minorHAnsi" w:hAnsiTheme="minorHAnsi"/>
          <w:color w:val="000000"/>
          <w:sz w:val="22"/>
          <w:szCs w:val="22"/>
        </w:rPr>
        <w:t xml:space="preserve"> improved nutrition outcomes should be interrogated, questioned, and likely revised in the face of current evidence.</w:t>
      </w:r>
    </w:p>
    <w:p w:rsidR="00830443" w:rsidRPr="00C91313" w:rsidRDefault="00830443" w:rsidP="00696565">
      <w:pPr>
        <w:pStyle w:val="NormalWeb"/>
        <w:numPr>
          <w:ilvl w:val="0"/>
          <w:numId w:val="1"/>
        </w:numPr>
        <w:shd w:val="clear" w:color="auto" w:fill="FFFFFF"/>
        <w:spacing w:after="0" w:afterAutospacing="0"/>
        <w:ind w:right="75"/>
        <w:rPr>
          <w:rFonts w:asciiTheme="minorHAnsi" w:hAnsiTheme="minorHAnsi"/>
          <w:i/>
          <w:color w:val="000000"/>
          <w:sz w:val="22"/>
          <w:szCs w:val="22"/>
        </w:rPr>
      </w:pPr>
      <w:r>
        <w:rPr>
          <w:rFonts w:asciiTheme="minorHAnsi" w:hAnsiTheme="minorHAnsi"/>
          <w:color w:val="000000"/>
          <w:sz w:val="22"/>
          <w:szCs w:val="22"/>
        </w:rPr>
        <w:t>The significant contribution to dietary diversity and food security from urban agriculture should be acknowledged and carefully examined</w:t>
      </w:r>
      <w:r w:rsidR="00C91313">
        <w:rPr>
          <w:rFonts w:asciiTheme="minorHAnsi" w:hAnsiTheme="minorHAnsi"/>
          <w:color w:val="000000"/>
          <w:sz w:val="22"/>
          <w:szCs w:val="22"/>
        </w:rPr>
        <w:t xml:space="preserve">; </w:t>
      </w:r>
      <w:proofErr w:type="spellStart"/>
      <w:r w:rsidR="00C91313">
        <w:rPr>
          <w:rFonts w:asciiTheme="minorHAnsi" w:hAnsiTheme="minorHAnsi"/>
          <w:color w:val="000000"/>
          <w:sz w:val="22"/>
          <w:szCs w:val="22"/>
        </w:rPr>
        <w:t>Thebo</w:t>
      </w:r>
      <w:proofErr w:type="spellEnd"/>
      <w:r w:rsidR="00C91313">
        <w:rPr>
          <w:rFonts w:asciiTheme="minorHAnsi" w:hAnsiTheme="minorHAnsi"/>
          <w:color w:val="000000"/>
          <w:sz w:val="22"/>
          <w:szCs w:val="22"/>
        </w:rPr>
        <w:t xml:space="preserve"> et al. 2014; </w:t>
      </w:r>
      <w:proofErr w:type="spellStart"/>
      <w:r w:rsidR="00C91313">
        <w:rPr>
          <w:rFonts w:asciiTheme="minorHAnsi" w:hAnsiTheme="minorHAnsi"/>
          <w:color w:val="000000"/>
          <w:sz w:val="22"/>
          <w:szCs w:val="22"/>
        </w:rPr>
        <w:t>Zezza</w:t>
      </w:r>
      <w:proofErr w:type="spellEnd"/>
      <w:r w:rsidR="00C91313">
        <w:rPr>
          <w:rFonts w:asciiTheme="minorHAnsi" w:hAnsiTheme="minorHAnsi"/>
          <w:color w:val="000000"/>
          <w:sz w:val="22"/>
          <w:szCs w:val="22"/>
        </w:rPr>
        <w:t xml:space="preserve"> and </w:t>
      </w:r>
      <w:proofErr w:type="spellStart"/>
      <w:r w:rsidR="00C91313">
        <w:rPr>
          <w:rFonts w:asciiTheme="minorHAnsi" w:hAnsiTheme="minorHAnsi"/>
          <w:color w:val="000000"/>
          <w:sz w:val="22"/>
          <w:szCs w:val="22"/>
        </w:rPr>
        <w:t>Tasciotti</w:t>
      </w:r>
      <w:proofErr w:type="spellEnd"/>
      <w:r w:rsidR="00C91313">
        <w:rPr>
          <w:rFonts w:asciiTheme="minorHAnsi" w:hAnsiTheme="minorHAnsi"/>
          <w:color w:val="000000"/>
          <w:sz w:val="22"/>
          <w:szCs w:val="22"/>
        </w:rPr>
        <w:t xml:space="preserve"> 2014.</w:t>
      </w:r>
    </w:p>
    <w:p w:rsidR="00C91313" w:rsidRPr="002E6996" w:rsidRDefault="00C91313" w:rsidP="00696565">
      <w:pPr>
        <w:pStyle w:val="NormalWeb"/>
        <w:numPr>
          <w:ilvl w:val="0"/>
          <w:numId w:val="1"/>
        </w:numPr>
        <w:shd w:val="clear" w:color="auto" w:fill="FFFFFF"/>
        <w:spacing w:after="0" w:afterAutospacing="0"/>
        <w:ind w:right="75"/>
        <w:rPr>
          <w:rFonts w:asciiTheme="minorHAnsi" w:hAnsiTheme="minorHAnsi"/>
          <w:i/>
          <w:color w:val="000000"/>
          <w:sz w:val="22"/>
          <w:szCs w:val="22"/>
        </w:rPr>
      </w:pPr>
      <w:r>
        <w:rPr>
          <w:rFonts w:asciiTheme="minorHAnsi" w:hAnsiTheme="minorHAnsi"/>
          <w:color w:val="000000"/>
          <w:sz w:val="22"/>
          <w:szCs w:val="22"/>
        </w:rPr>
        <w:t>Cultural and ethical values, and their interaction with nutrition, food sovereignty, and autonomy (not autarky) should also be explicitly considered and their significance allowed due weight. This includes, but is not limited to, the importance of participation and</w:t>
      </w:r>
      <w:r w:rsidR="008558F8">
        <w:rPr>
          <w:rFonts w:asciiTheme="minorHAnsi" w:hAnsiTheme="minorHAnsi"/>
          <w:color w:val="000000"/>
          <w:sz w:val="22"/>
          <w:szCs w:val="22"/>
        </w:rPr>
        <w:t xml:space="preserve"> empowerment, as recognized in the </w:t>
      </w:r>
      <w:r w:rsidR="008558F8" w:rsidRPr="009B542F">
        <w:rPr>
          <w:rFonts w:asciiTheme="minorHAnsi" w:hAnsiTheme="minorHAnsi"/>
          <w:i/>
          <w:iCs/>
          <w:color w:val="000000"/>
          <w:sz w:val="22"/>
          <w:szCs w:val="22"/>
        </w:rPr>
        <w:t>Key recommendations for improving nutrition through agriculture and food systems</w:t>
      </w:r>
      <w:r w:rsidR="008558F8">
        <w:rPr>
          <w:rFonts w:asciiTheme="minorHAnsi" w:hAnsiTheme="minorHAnsi"/>
          <w:iCs/>
          <w:color w:val="000000"/>
          <w:sz w:val="22"/>
          <w:szCs w:val="22"/>
        </w:rPr>
        <w:t>, which is based on a consensus process among nutritionists and related experts.</w:t>
      </w:r>
    </w:p>
    <w:p w:rsidR="002E6996" w:rsidRDefault="002E6996" w:rsidP="002E6996">
      <w:pPr>
        <w:pStyle w:val="NormalWeb"/>
        <w:shd w:val="clear" w:color="auto" w:fill="FFFFFF"/>
        <w:spacing w:after="0" w:afterAutospacing="0"/>
        <w:ind w:right="75"/>
        <w:rPr>
          <w:rFonts w:asciiTheme="minorHAnsi" w:hAnsiTheme="minorHAnsi"/>
          <w:iCs/>
          <w:color w:val="000000"/>
          <w:sz w:val="22"/>
          <w:szCs w:val="22"/>
        </w:rPr>
      </w:pPr>
      <w:r>
        <w:rPr>
          <w:rFonts w:asciiTheme="minorHAnsi" w:hAnsiTheme="minorHAnsi"/>
          <w:iCs/>
          <w:color w:val="000000"/>
          <w:sz w:val="22"/>
          <w:szCs w:val="22"/>
        </w:rPr>
        <w:t xml:space="preserve">Thank you again for the opportunity to submit comments </w:t>
      </w:r>
      <w:r w:rsidR="00E467A2">
        <w:rPr>
          <w:rFonts w:asciiTheme="minorHAnsi" w:hAnsiTheme="minorHAnsi"/>
          <w:iCs/>
          <w:color w:val="000000"/>
          <w:sz w:val="22"/>
          <w:szCs w:val="22"/>
        </w:rPr>
        <w:t>towards this important work.</w:t>
      </w:r>
    </w:p>
    <w:p w:rsidR="001D0628" w:rsidRDefault="001D0628" w:rsidP="001D0628">
      <w:pPr>
        <w:pStyle w:val="NormalWeb"/>
        <w:shd w:val="clear" w:color="auto" w:fill="FFFFFF"/>
        <w:spacing w:before="0" w:beforeAutospacing="0" w:after="0" w:afterAutospacing="0"/>
        <w:ind w:right="75"/>
        <w:rPr>
          <w:rFonts w:asciiTheme="minorHAnsi" w:hAnsiTheme="minorHAnsi"/>
          <w:i/>
          <w:iCs/>
          <w:color w:val="000000"/>
          <w:sz w:val="22"/>
          <w:szCs w:val="22"/>
        </w:rPr>
      </w:pPr>
    </w:p>
    <w:p w:rsidR="00E467A2" w:rsidRDefault="00E467A2" w:rsidP="001D0628">
      <w:pPr>
        <w:pStyle w:val="NormalWeb"/>
        <w:shd w:val="clear" w:color="auto" w:fill="FFFFFF"/>
        <w:spacing w:before="0" w:beforeAutospacing="0" w:after="0" w:afterAutospacing="0"/>
        <w:ind w:right="75"/>
        <w:rPr>
          <w:rFonts w:asciiTheme="minorHAnsi" w:hAnsiTheme="minorHAnsi"/>
          <w:i/>
          <w:iCs/>
          <w:color w:val="000000"/>
          <w:sz w:val="22"/>
          <w:szCs w:val="22"/>
        </w:rPr>
      </w:pPr>
      <w:r>
        <w:rPr>
          <w:rFonts w:asciiTheme="minorHAnsi" w:hAnsiTheme="minorHAnsi"/>
          <w:i/>
          <w:iCs/>
          <w:color w:val="000000"/>
          <w:sz w:val="22"/>
          <w:szCs w:val="22"/>
        </w:rPr>
        <w:t>M. Jahi Chappell, Ph.D.</w:t>
      </w:r>
      <w:bookmarkStart w:id="0" w:name="_GoBack"/>
      <w:bookmarkEnd w:id="0"/>
    </w:p>
    <w:p w:rsidR="00E467A2" w:rsidRDefault="00E467A2" w:rsidP="001D0628">
      <w:pPr>
        <w:pStyle w:val="NormalWeb"/>
        <w:shd w:val="clear" w:color="auto" w:fill="FFFFFF"/>
        <w:spacing w:before="0" w:beforeAutospacing="0" w:after="0" w:afterAutospacing="0"/>
        <w:ind w:right="75"/>
        <w:rPr>
          <w:rFonts w:asciiTheme="minorHAnsi" w:hAnsiTheme="minorHAnsi"/>
          <w:i/>
          <w:iCs/>
          <w:color w:val="000000"/>
          <w:sz w:val="22"/>
          <w:szCs w:val="22"/>
        </w:rPr>
      </w:pPr>
      <w:r>
        <w:rPr>
          <w:rFonts w:asciiTheme="minorHAnsi" w:hAnsiTheme="minorHAnsi"/>
          <w:i/>
          <w:iCs/>
          <w:color w:val="000000"/>
          <w:sz w:val="22"/>
          <w:szCs w:val="22"/>
        </w:rPr>
        <w:t>Senior Staff Scientist</w:t>
      </w:r>
    </w:p>
    <w:p w:rsidR="00E467A2" w:rsidRDefault="00E467A2" w:rsidP="001D0628">
      <w:pPr>
        <w:pStyle w:val="NormalWeb"/>
        <w:shd w:val="clear" w:color="auto" w:fill="FFFFFF"/>
        <w:spacing w:before="0" w:beforeAutospacing="0" w:after="0" w:afterAutospacing="0"/>
        <w:ind w:right="75"/>
        <w:rPr>
          <w:rFonts w:asciiTheme="minorHAnsi" w:hAnsiTheme="minorHAnsi"/>
          <w:i/>
          <w:iCs/>
          <w:color w:val="000000"/>
          <w:sz w:val="22"/>
          <w:szCs w:val="22"/>
        </w:rPr>
      </w:pPr>
      <w:r>
        <w:rPr>
          <w:rFonts w:asciiTheme="minorHAnsi" w:hAnsiTheme="minorHAnsi"/>
          <w:i/>
          <w:iCs/>
          <w:color w:val="000000"/>
          <w:sz w:val="22"/>
          <w:szCs w:val="22"/>
        </w:rPr>
        <w:t>Institute for Agriculture and Trade Policy</w:t>
      </w:r>
    </w:p>
    <w:p w:rsidR="00E467A2" w:rsidRPr="00E467A2" w:rsidRDefault="00E467A2" w:rsidP="001D0628">
      <w:pPr>
        <w:pStyle w:val="NormalWeb"/>
        <w:shd w:val="clear" w:color="auto" w:fill="FFFFFF"/>
        <w:spacing w:before="0" w:beforeAutospacing="0" w:after="0" w:afterAutospacing="0"/>
        <w:ind w:right="75"/>
        <w:rPr>
          <w:rFonts w:asciiTheme="minorHAnsi" w:hAnsiTheme="minorHAnsi"/>
          <w:i/>
          <w:color w:val="000000"/>
          <w:sz w:val="22"/>
          <w:szCs w:val="22"/>
        </w:rPr>
      </w:pPr>
      <w:r>
        <w:rPr>
          <w:rFonts w:asciiTheme="minorHAnsi" w:hAnsiTheme="minorHAnsi"/>
          <w:i/>
          <w:iCs/>
          <w:color w:val="000000"/>
          <w:sz w:val="22"/>
          <w:szCs w:val="22"/>
        </w:rPr>
        <w:t>Minneapolis, MN, USA</w:t>
      </w:r>
    </w:p>
    <w:p w:rsidR="00696565" w:rsidRPr="00E045C0" w:rsidRDefault="00696565" w:rsidP="00696565">
      <w:pPr>
        <w:pStyle w:val="NormalWeb"/>
        <w:shd w:val="clear" w:color="auto" w:fill="FFFFFF"/>
        <w:spacing w:after="0" w:afterAutospacing="0"/>
        <w:ind w:right="75"/>
        <w:rPr>
          <w:rFonts w:asciiTheme="minorHAnsi" w:hAnsiTheme="minorHAnsi"/>
          <w:b/>
          <w:color w:val="000000"/>
          <w:sz w:val="22"/>
          <w:szCs w:val="22"/>
        </w:rPr>
      </w:pPr>
      <w:r w:rsidRPr="00E045C0">
        <w:rPr>
          <w:rFonts w:asciiTheme="minorHAnsi" w:hAnsiTheme="minorHAnsi"/>
          <w:b/>
          <w:color w:val="000000"/>
          <w:sz w:val="22"/>
          <w:szCs w:val="22"/>
        </w:rPr>
        <w:t>References Cited</w:t>
      </w:r>
    </w:p>
    <w:p w:rsidR="009B542F" w:rsidRPr="008558F8" w:rsidRDefault="009B542F" w:rsidP="00E251F9">
      <w:pPr>
        <w:ind w:left="720" w:hanging="720"/>
        <w:rPr>
          <w:rFonts w:ascii="Verdana" w:eastAsia="Times New Roman" w:hAnsi="Verdana" w:cs="Times New Roman"/>
          <w:color w:val="000000"/>
          <w:sz w:val="24"/>
          <w:szCs w:val="24"/>
        </w:rPr>
      </w:pPr>
      <w:r w:rsidRPr="009B542F">
        <w:rPr>
          <w:rFonts w:eastAsia="Times New Roman" w:cs="Times New Roman"/>
          <w:color w:val="000000"/>
        </w:rPr>
        <w:t>Agarwal, B. (2015). Food Security, Productivity, and Gender Inequality. In R. J. Herring (Ed.)</w:t>
      </w:r>
      <w:proofErr w:type="gramStart"/>
      <w:r w:rsidRPr="009B542F">
        <w:rPr>
          <w:rFonts w:eastAsia="Times New Roman" w:cs="Times New Roman"/>
          <w:color w:val="000000"/>
        </w:rPr>
        <w:t>,</w:t>
      </w:r>
      <w:r w:rsidRPr="009B542F">
        <w:rPr>
          <w:rFonts w:eastAsia="Times New Roman" w:cs="Times New Roman"/>
          <w:i/>
          <w:iCs/>
          <w:color w:val="000000"/>
        </w:rPr>
        <w:t>The</w:t>
      </w:r>
      <w:proofErr w:type="gramEnd"/>
      <w:r w:rsidRPr="009B542F">
        <w:rPr>
          <w:rFonts w:eastAsia="Times New Roman" w:cs="Times New Roman"/>
          <w:i/>
          <w:iCs/>
          <w:color w:val="000000"/>
        </w:rPr>
        <w:t xml:space="preserve"> Oxford Handbook of Food, Politics, and Society</w:t>
      </w:r>
      <w:r w:rsidRPr="009B542F">
        <w:rPr>
          <w:rFonts w:eastAsia="Times New Roman" w:cs="Times New Roman"/>
          <w:color w:val="000000"/>
        </w:rPr>
        <w:t>. Oxford: Oxford University Press.</w:t>
      </w:r>
    </w:p>
    <w:p w:rsidR="009B542F" w:rsidRPr="009B542F" w:rsidRDefault="009B542F" w:rsidP="00E251F9">
      <w:pPr>
        <w:shd w:val="clear" w:color="auto" w:fill="FFFFFF"/>
        <w:spacing w:before="100" w:beforeAutospacing="1" w:after="0" w:line="240" w:lineRule="auto"/>
        <w:ind w:left="720" w:right="75" w:hanging="720"/>
        <w:rPr>
          <w:rFonts w:eastAsia="Times New Roman" w:cs="Times New Roman"/>
          <w:color w:val="000000"/>
        </w:rPr>
      </w:pPr>
      <w:r w:rsidRPr="009B542F">
        <w:rPr>
          <w:rFonts w:eastAsia="Times New Roman" w:cs="Times New Roman"/>
          <w:color w:val="000000"/>
        </w:rPr>
        <w:t xml:space="preserve">Bezner Kerr, R., </w:t>
      </w:r>
      <w:proofErr w:type="spellStart"/>
      <w:r w:rsidRPr="009B542F">
        <w:rPr>
          <w:rFonts w:eastAsia="Times New Roman" w:cs="Times New Roman"/>
          <w:color w:val="000000"/>
        </w:rPr>
        <w:t>Berti</w:t>
      </w:r>
      <w:proofErr w:type="spellEnd"/>
      <w:r w:rsidRPr="009B542F">
        <w:rPr>
          <w:rFonts w:eastAsia="Times New Roman" w:cs="Times New Roman"/>
          <w:color w:val="000000"/>
        </w:rPr>
        <w:t xml:space="preserve">, P. R., &amp; </w:t>
      </w:r>
      <w:proofErr w:type="spellStart"/>
      <w:r w:rsidRPr="009B542F">
        <w:rPr>
          <w:rFonts w:eastAsia="Times New Roman" w:cs="Times New Roman"/>
          <w:color w:val="000000"/>
        </w:rPr>
        <w:t>Shumba</w:t>
      </w:r>
      <w:proofErr w:type="spellEnd"/>
      <w:r w:rsidRPr="009B542F">
        <w:rPr>
          <w:rFonts w:eastAsia="Times New Roman" w:cs="Times New Roman"/>
          <w:color w:val="000000"/>
        </w:rPr>
        <w:t>, L. (2011). Effects of a participatory agriculture and nutrition education project on child growth in northern Malawi. </w:t>
      </w:r>
      <w:r w:rsidRPr="009B542F">
        <w:rPr>
          <w:rFonts w:eastAsia="Times New Roman" w:cs="Times New Roman"/>
          <w:i/>
          <w:iCs/>
          <w:color w:val="000000"/>
        </w:rPr>
        <w:t>Public Health Nutrition, 14</w:t>
      </w:r>
      <w:r w:rsidRPr="009B542F">
        <w:rPr>
          <w:rFonts w:eastAsia="Times New Roman" w:cs="Times New Roman"/>
          <w:color w:val="000000"/>
        </w:rPr>
        <w:t>(08), 1466-1472.</w:t>
      </w:r>
    </w:p>
    <w:p w:rsidR="009B542F" w:rsidRPr="009B542F" w:rsidRDefault="009B542F" w:rsidP="009B542F">
      <w:pPr>
        <w:shd w:val="clear" w:color="auto" w:fill="FFFFFF"/>
        <w:spacing w:before="100" w:beforeAutospacing="1" w:after="0" w:line="240" w:lineRule="auto"/>
        <w:ind w:left="720" w:right="75" w:hanging="720"/>
        <w:rPr>
          <w:rFonts w:eastAsia="Times New Roman" w:cs="Times New Roman"/>
          <w:color w:val="000000"/>
        </w:rPr>
      </w:pPr>
      <w:r w:rsidRPr="009B542F">
        <w:rPr>
          <w:rFonts w:eastAsia="Times New Roman" w:cs="Times New Roman"/>
          <w:color w:val="000000"/>
        </w:rPr>
        <w:t xml:space="preserve">Bezner Kerr, R., </w:t>
      </w:r>
      <w:proofErr w:type="spellStart"/>
      <w:r w:rsidRPr="009B542F">
        <w:rPr>
          <w:rFonts w:eastAsia="Times New Roman" w:cs="Times New Roman"/>
          <w:color w:val="000000"/>
        </w:rPr>
        <w:t>Snapp</w:t>
      </w:r>
      <w:proofErr w:type="spellEnd"/>
      <w:r w:rsidRPr="009B542F">
        <w:rPr>
          <w:rFonts w:eastAsia="Times New Roman" w:cs="Times New Roman"/>
          <w:color w:val="000000"/>
        </w:rPr>
        <w:t xml:space="preserve">, S., </w:t>
      </w:r>
      <w:proofErr w:type="spellStart"/>
      <w:r w:rsidRPr="009B542F">
        <w:rPr>
          <w:rFonts w:eastAsia="Times New Roman" w:cs="Times New Roman"/>
          <w:color w:val="000000"/>
        </w:rPr>
        <w:t>Chirwa</w:t>
      </w:r>
      <w:proofErr w:type="spellEnd"/>
      <w:r w:rsidRPr="009B542F">
        <w:rPr>
          <w:rFonts w:eastAsia="Times New Roman" w:cs="Times New Roman"/>
          <w:color w:val="000000"/>
        </w:rPr>
        <w:t xml:space="preserve">, M., </w:t>
      </w:r>
      <w:proofErr w:type="spellStart"/>
      <w:r w:rsidRPr="009B542F">
        <w:rPr>
          <w:rFonts w:eastAsia="Times New Roman" w:cs="Times New Roman"/>
          <w:color w:val="000000"/>
        </w:rPr>
        <w:t>Shumba</w:t>
      </w:r>
      <w:proofErr w:type="spellEnd"/>
      <w:r w:rsidRPr="009B542F">
        <w:rPr>
          <w:rFonts w:eastAsia="Times New Roman" w:cs="Times New Roman"/>
          <w:color w:val="000000"/>
        </w:rPr>
        <w:t xml:space="preserve">, L., &amp; </w:t>
      </w:r>
      <w:proofErr w:type="spellStart"/>
      <w:r w:rsidRPr="009B542F">
        <w:rPr>
          <w:rFonts w:eastAsia="Times New Roman" w:cs="Times New Roman"/>
          <w:color w:val="000000"/>
        </w:rPr>
        <w:t>Msachi</w:t>
      </w:r>
      <w:proofErr w:type="spellEnd"/>
      <w:r w:rsidRPr="009B542F">
        <w:rPr>
          <w:rFonts w:eastAsia="Times New Roman" w:cs="Times New Roman"/>
          <w:color w:val="000000"/>
        </w:rPr>
        <w:t>, R. (2007). Participatory research on legume diversification with Malawian smallholder farmers for improved human nutrition and soil fertility. </w:t>
      </w:r>
      <w:r w:rsidRPr="009B542F">
        <w:rPr>
          <w:rFonts w:eastAsia="Times New Roman" w:cs="Times New Roman"/>
          <w:i/>
          <w:iCs/>
          <w:color w:val="000000"/>
        </w:rPr>
        <w:t>Experimental Agriculture, 43</w:t>
      </w:r>
      <w:r w:rsidRPr="009B542F">
        <w:rPr>
          <w:rFonts w:eastAsia="Times New Roman" w:cs="Times New Roman"/>
          <w:color w:val="000000"/>
        </w:rPr>
        <w:t>(04), 437-453.</w:t>
      </w:r>
    </w:p>
    <w:p w:rsidR="009B542F" w:rsidRPr="009B542F" w:rsidRDefault="009B542F" w:rsidP="009B542F">
      <w:pPr>
        <w:shd w:val="clear" w:color="auto" w:fill="FFFFFF"/>
        <w:spacing w:before="100" w:beforeAutospacing="1" w:after="0" w:line="240" w:lineRule="auto"/>
        <w:ind w:left="720" w:right="75" w:hanging="720"/>
        <w:rPr>
          <w:rFonts w:eastAsia="Times New Roman" w:cs="Times New Roman"/>
          <w:color w:val="000000"/>
        </w:rPr>
      </w:pPr>
      <w:r w:rsidRPr="009B542F">
        <w:rPr>
          <w:rFonts w:eastAsia="Times New Roman" w:cs="Times New Roman"/>
          <w:color w:val="000000"/>
        </w:rPr>
        <w:t xml:space="preserve">Bezner-Kerr, R., </w:t>
      </w:r>
      <w:proofErr w:type="spellStart"/>
      <w:r w:rsidRPr="009B542F">
        <w:rPr>
          <w:rFonts w:eastAsia="Times New Roman" w:cs="Times New Roman"/>
          <w:color w:val="000000"/>
        </w:rPr>
        <w:t>Lupafya</w:t>
      </w:r>
      <w:proofErr w:type="spellEnd"/>
      <w:r w:rsidRPr="009B542F">
        <w:rPr>
          <w:rFonts w:eastAsia="Times New Roman" w:cs="Times New Roman"/>
          <w:color w:val="000000"/>
        </w:rPr>
        <w:t xml:space="preserve">, E., &amp; </w:t>
      </w:r>
      <w:proofErr w:type="spellStart"/>
      <w:r w:rsidRPr="009B542F">
        <w:rPr>
          <w:rFonts w:eastAsia="Times New Roman" w:cs="Times New Roman"/>
          <w:color w:val="000000"/>
        </w:rPr>
        <w:t>Shumba</w:t>
      </w:r>
      <w:proofErr w:type="spellEnd"/>
      <w:r w:rsidRPr="009B542F">
        <w:rPr>
          <w:rFonts w:eastAsia="Times New Roman" w:cs="Times New Roman"/>
          <w:color w:val="000000"/>
        </w:rPr>
        <w:t>, L. (2013). </w:t>
      </w:r>
      <w:r w:rsidRPr="009B542F">
        <w:rPr>
          <w:rFonts w:eastAsia="Times New Roman" w:cs="Times New Roman"/>
          <w:i/>
          <w:iCs/>
          <w:color w:val="000000"/>
        </w:rPr>
        <w:t>Food Sovereignty, Gender and Nutrition: Perspectives from Malawi: Conference Paper #68</w:t>
      </w:r>
      <w:r w:rsidRPr="009B542F">
        <w:rPr>
          <w:rFonts w:eastAsia="Times New Roman" w:cs="Times New Roman"/>
          <w:color w:val="000000"/>
        </w:rPr>
        <w:t xml:space="preserve">. Paper presented at the Food Sovereignty: A </w:t>
      </w:r>
      <w:r w:rsidRPr="009B542F">
        <w:rPr>
          <w:rFonts w:eastAsia="Times New Roman" w:cs="Times New Roman"/>
          <w:color w:val="000000"/>
        </w:rPr>
        <w:lastRenderedPageBreak/>
        <w:t xml:space="preserve">Critical Dialogue, Yale University, </w:t>
      </w:r>
      <w:proofErr w:type="gramStart"/>
      <w:r w:rsidRPr="009B542F">
        <w:rPr>
          <w:rFonts w:eastAsia="Times New Roman" w:cs="Times New Roman"/>
          <w:color w:val="000000"/>
        </w:rPr>
        <w:t>New</w:t>
      </w:r>
      <w:proofErr w:type="gramEnd"/>
      <w:r w:rsidRPr="009B542F">
        <w:rPr>
          <w:rFonts w:eastAsia="Times New Roman" w:cs="Times New Roman"/>
          <w:color w:val="000000"/>
        </w:rPr>
        <w:t xml:space="preserve"> Haven, CT. http://www.iss.nl/fileadmin/ASSETS/iss/Research_and_projects/Research_networks/ICAS/68_BeznerKerr_2013.pdf</w:t>
      </w:r>
    </w:p>
    <w:p w:rsidR="008558F8" w:rsidRPr="008558F8" w:rsidRDefault="008558F8" w:rsidP="008558F8">
      <w:pPr>
        <w:shd w:val="clear" w:color="auto" w:fill="FFFFFF"/>
        <w:spacing w:before="100" w:beforeAutospacing="1" w:after="0" w:line="240" w:lineRule="auto"/>
        <w:ind w:left="720" w:right="75" w:hanging="720"/>
        <w:rPr>
          <w:rFonts w:eastAsia="Times New Roman" w:cs="Times New Roman"/>
          <w:color w:val="000000"/>
        </w:rPr>
      </w:pPr>
      <w:r w:rsidRPr="008558F8">
        <w:rPr>
          <w:rFonts w:eastAsia="Times New Roman" w:cs="Times New Roman"/>
          <w:color w:val="000000"/>
        </w:rPr>
        <w:t xml:space="preserve">Burlingame, B., &amp; </w:t>
      </w:r>
      <w:proofErr w:type="spellStart"/>
      <w:r w:rsidRPr="008558F8">
        <w:rPr>
          <w:rFonts w:eastAsia="Times New Roman" w:cs="Times New Roman"/>
          <w:color w:val="000000"/>
        </w:rPr>
        <w:t>Dernini</w:t>
      </w:r>
      <w:proofErr w:type="spellEnd"/>
      <w:r w:rsidRPr="008558F8">
        <w:rPr>
          <w:rFonts w:eastAsia="Times New Roman" w:cs="Times New Roman"/>
          <w:color w:val="000000"/>
        </w:rPr>
        <w:t>, S. (Eds.). (2012). </w:t>
      </w:r>
      <w:r w:rsidRPr="008558F8">
        <w:rPr>
          <w:rFonts w:eastAsia="Times New Roman" w:cs="Times New Roman"/>
          <w:i/>
          <w:iCs/>
          <w:color w:val="000000"/>
        </w:rPr>
        <w:t>Sustainable Diets and Biodiversity: Directions and solutions for policy, research and action</w:t>
      </w:r>
      <w:r w:rsidRPr="008558F8">
        <w:rPr>
          <w:rFonts w:eastAsia="Times New Roman" w:cs="Times New Roman"/>
          <w:color w:val="000000"/>
        </w:rPr>
        <w:t>. Rome: Food and Agriculture Organization of the United Nations.</w:t>
      </w:r>
    </w:p>
    <w:p w:rsidR="0006796B" w:rsidRDefault="0006796B" w:rsidP="00E045C0">
      <w:pPr>
        <w:shd w:val="clear" w:color="auto" w:fill="FFFFFF"/>
        <w:spacing w:before="100" w:beforeAutospacing="1" w:after="0" w:line="240" w:lineRule="auto"/>
        <w:ind w:left="720" w:right="75" w:hanging="720"/>
        <w:rPr>
          <w:rFonts w:eastAsia="Times New Roman" w:cs="Times New Roman"/>
          <w:color w:val="000000"/>
        </w:rPr>
      </w:pPr>
      <w:r w:rsidRPr="0006796B">
        <w:rPr>
          <w:rFonts w:eastAsia="Times New Roman" w:cs="Times New Roman"/>
          <w:color w:val="000000"/>
        </w:rPr>
        <w:t>Davis, D. R. (2009). Declining Fruit and Vegetable Nutrient Composition: What Is the Evidence?</w:t>
      </w:r>
      <w:r>
        <w:rPr>
          <w:rFonts w:eastAsia="Times New Roman" w:cs="Times New Roman"/>
          <w:color w:val="000000"/>
        </w:rPr>
        <w:t xml:space="preserve"> </w:t>
      </w:r>
      <w:proofErr w:type="spellStart"/>
      <w:r w:rsidRPr="0006796B">
        <w:rPr>
          <w:rFonts w:eastAsia="Times New Roman" w:cs="Times New Roman"/>
          <w:i/>
          <w:iCs/>
          <w:color w:val="000000"/>
        </w:rPr>
        <w:t>HortScience</w:t>
      </w:r>
      <w:proofErr w:type="spellEnd"/>
      <w:r w:rsidRPr="0006796B">
        <w:rPr>
          <w:rFonts w:eastAsia="Times New Roman" w:cs="Times New Roman"/>
          <w:i/>
          <w:iCs/>
          <w:color w:val="000000"/>
        </w:rPr>
        <w:t>, 44</w:t>
      </w:r>
      <w:r w:rsidRPr="0006796B">
        <w:rPr>
          <w:rFonts w:eastAsia="Times New Roman" w:cs="Times New Roman"/>
          <w:color w:val="000000"/>
        </w:rPr>
        <w:t>(1), 15-19.</w:t>
      </w:r>
    </w:p>
    <w:p w:rsidR="008558F8" w:rsidRPr="008558F8" w:rsidRDefault="008558F8" w:rsidP="008558F8">
      <w:pPr>
        <w:shd w:val="clear" w:color="auto" w:fill="FFFFFF"/>
        <w:spacing w:before="100" w:beforeAutospacing="1" w:after="0" w:line="240" w:lineRule="auto"/>
        <w:ind w:left="720" w:right="75" w:hanging="720"/>
        <w:rPr>
          <w:rFonts w:eastAsia="Times New Roman" w:cs="Times New Roman"/>
          <w:color w:val="000000"/>
        </w:rPr>
      </w:pPr>
      <w:r w:rsidRPr="008558F8">
        <w:rPr>
          <w:rFonts w:eastAsia="Times New Roman" w:cs="Times New Roman"/>
          <w:color w:val="000000"/>
        </w:rPr>
        <w:t>Food and Agriculture Organization of the United Nations (FAO). (2013). </w:t>
      </w:r>
      <w:r w:rsidRPr="008558F8">
        <w:rPr>
          <w:rFonts w:eastAsia="Times New Roman" w:cs="Times New Roman"/>
          <w:i/>
          <w:iCs/>
          <w:color w:val="000000"/>
        </w:rPr>
        <w:t>Key recommendations for improving nutrition through agriculture and food systems</w:t>
      </w:r>
      <w:r w:rsidRPr="008558F8">
        <w:rPr>
          <w:rFonts w:eastAsia="Times New Roman" w:cs="Times New Roman"/>
          <w:color w:val="000000"/>
        </w:rPr>
        <w:t>. Retrieved from Rome: http://unscn.org/files/Agriculture-Nutrition-CoP/Agriculture-Nutrition_Key_recommendations.pdf</w:t>
      </w:r>
    </w:p>
    <w:p w:rsidR="00696565" w:rsidRPr="00696565" w:rsidRDefault="00696565" w:rsidP="00E045C0">
      <w:pPr>
        <w:shd w:val="clear" w:color="auto" w:fill="FFFFFF"/>
        <w:spacing w:before="100" w:beforeAutospacing="1" w:after="0" w:line="240" w:lineRule="auto"/>
        <w:ind w:left="720" w:right="75" w:hanging="720"/>
        <w:rPr>
          <w:rFonts w:eastAsia="Times New Roman" w:cs="Times New Roman"/>
          <w:color w:val="000000"/>
        </w:rPr>
      </w:pPr>
      <w:r w:rsidRPr="00696565">
        <w:rPr>
          <w:rFonts w:eastAsia="Times New Roman" w:cs="Times New Roman"/>
          <w:color w:val="000000"/>
        </w:rPr>
        <w:t>Food and Agriculture Organization of the United Nations (FAO). (2015). </w:t>
      </w:r>
      <w:r w:rsidRPr="00696565">
        <w:rPr>
          <w:rFonts w:eastAsia="Times New Roman" w:cs="Times New Roman"/>
          <w:i/>
          <w:iCs/>
          <w:color w:val="000000"/>
        </w:rPr>
        <w:t>Natural Capital Impacts in Agriculture: Supporting Better Business Decision-Making</w:t>
      </w:r>
      <w:r w:rsidRPr="00696565">
        <w:rPr>
          <w:rFonts w:eastAsia="Times New Roman" w:cs="Times New Roman"/>
          <w:color w:val="000000"/>
        </w:rPr>
        <w:t>. Retrieved from Rome: http://www.fao.org/fileadmin/templates/nr/sustainability_pathways/docs/Final_Natural_Capital_Impacts_in_Agriculture_-_Supporting_Better_Business_Descision-Making_v5.0.pdf</w:t>
      </w:r>
    </w:p>
    <w:p w:rsidR="008558F8" w:rsidRPr="008558F8" w:rsidRDefault="008558F8" w:rsidP="008558F8">
      <w:pPr>
        <w:shd w:val="clear" w:color="auto" w:fill="FFFFFF"/>
        <w:spacing w:before="100" w:beforeAutospacing="1" w:after="0" w:line="240" w:lineRule="auto"/>
        <w:ind w:left="720" w:right="75" w:hanging="720"/>
        <w:rPr>
          <w:rFonts w:eastAsia="Times New Roman" w:cs="Times New Roman"/>
          <w:color w:val="000000"/>
        </w:rPr>
      </w:pPr>
      <w:r w:rsidRPr="008558F8">
        <w:rPr>
          <w:rFonts w:eastAsia="Times New Roman" w:cs="Times New Roman"/>
          <w:color w:val="000000"/>
        </w:rPr>
        <w:t>Headey, D. (2014). </w:t>
      </w:r>
      <w:r w:rsidRPr="008558F8">
        <w:rPr>
          <w:rFonts w:eastAsia="Times New Roman" w:cs="Times New Roman"/>
          <w:i/>
          <w:iCs/>
          <w:color w:val="000000"/>
        </w:rPr>
        <w:t>Food prices and poverty reduction in the long run</w:t>
      </w:r>
      <w:r w:rsidRPr="008558F8">
        <w:rPr>
          <w:rFonts w:eastAsia="Times New Roman" w:cs="Times New Roman"/>
          <w:color w:val="000000"/>
        </w:rPr>
        <w:t> (1331). Retrieved from Washington, D.C.: http://ebrary.ifpri.org/cdm/ref/collection/p15738coll2/id/128056</w:t>
      </w:r>
    </w:p>
    <w:p w:rsidR="008558F8" w:rsidRPr="008558F8" w:rsidRDefault="008558F8" w:rsidP="008558F8">
      <w:pPr>
        <w:shd w:val="clear" w:color="auto" w:fill="FFFFFF"/>
        <w:spacing w:before="100" w:beforeAutospacing="1" w:after="0" w:line="240" w:lineRule="auto"/>
        <w:ind w:left="720" w:right="75" w:hanging="720"/>
        <w:rPr>
          <w:rFonts w:eastAsia="Times New Roman" w:cs="Times New Roman"/>
          <w:color w:val="000000"/>
        </w:rPr>
      </w:pPr>
      <w:r w:rsidRPr="008558F8">
        <w:rPr>
          <w:rFonts w:eastAsia="Times New Roman" w:cs="Times New Roman"/>
          <w:color w:val="000000"/>
        </w:rPr>
        <w:t>Headey, D., &amp; Ecker, O. (2013). Rethinking the measurement of food security: from first principles to best practice. </w:t>
      </w:r>
      <w:r w:rsidRPr="008558F8">
        <w:rPr>
          <w:rFonts w:eastAsia="Times New Roman" w:cs="Times New Roman"/>
          <w:i/>
          <w:iCs/>
          <w:color w:val="000000"/>
        </w:rPr>
        <w:t>Food Security, 5</w:t>
      </w:r>
      <w:r w:rsidRPr="008558F8">
        <w:rPr>
          <w:rFonts w:eastAsia="Times New Roman" w:cs="Times New Roman"/>
          <w:color w:val="000000"/>
        </w:rPr>
        <w:t xml:space="preserve">(3), 327-343. </w:t>
      </w:r>
      <w:proofErr w:type="gramStart"/>
      <w:r w:rsidRPr="008558F8">
        <w:rPr>
          <w:rFonts w:eastAsia="Times New Roman" w:cs="Times New Roman"/>
          <w:color w:val="000000"/>
        </w:rPr>
        <w:t>doi:</w:t>
      </w:r>
      <w:proofErr w:type="gramEnd"/>
      <w:r w:rsidRPr="008558F8">
        <w:rPr>
          <w:rFonts w:eastAsia="Times New Roman" w:cs="Times New Roman"/>
          <w:color w:val="000000"/>
        </w:rPr>
        <w:t>10.1007/s12571-013-0253-0</w:t>
      </w:r>
    </w:p>
    <w:p w:rsidR="00E045C0" w:rsidRPr="00E045C0" w:rsidRDefault="00E045C0" w:rsidP="00E045C0">
      <w:pPr>
        <w:pStyle w:val="NormalWeb"/>
        <w:shd w:val="clear" w:color="auto" w:fill="FFFFFF"/>
        <w:spacing w:after="0" w:afterAutospacing="0"/>
        <w:ind w:left="720" w:right="75" w:hanging="720"/>
        <w:rPr>
          <w:rFonts w:asciiTheme="minorHAnsi" w:hAnsiTheme="minorHAnsi"/>
          <w:color w:val="000000"/>
          <w:sz w:val="22"/>
          <w:szCs w:val="22"/>
        </w:rPr>
      </w:pPr>
      <w:r w:rsidRPr="00E045C0">
        <w:rPr>
          <w:rFonts w:asciiTheme="minorHAnsi" w:hAnsiTheme="minorHAnsi"/>
          <w:color w:val="000000"/>
          <w:sz w:val="22"/>
          <w:szCs w:val="22"/>
        </w:rPr>
        <w:t>Hendrickson, M. K. (2015). Resilience in a concentrated and consolidated food system.</w:t>
      </w:r>
      <w:r w:rsidRPr="00E045C0">
        <w:rPr>
          <w:rStyle w:val="apple-converted-space"/>
          <w:rFonts w:asciiTheme="minorHAnsi" w:hAnsiTheme="minorHAnsi"/>
          <w:color w:val="000000"/>
          <w:sz w:val="22"/>
          <w:szCs w:val="22"/>
        </w:rPr>
        <w:t> </w:t>
      </w:r>
      <w:r w:rsidRPr="00E045C0">
        <w:rPr>
          <w:rFonts w:asciiTheme="minorHAnsi" w:hAnsiTheme="minorHAnsi"/>
          <w:i/>
          <w:iCs/>
          <w:color w:val="000000"/>
          <w:sz w:val="22"/>
          <w:szCs w:val="22"/>
        </w:rPr>
        <w:t>Journal of Environmental Studies and Sciences, 5</w:t>
      </w:r>
      <w:r w:rsidRPr="00E045C0">
        <w:rPr>
          <w:rFonts w:asciiTheme="minorHAnsi" w:hAnsiTheme="minorHAnsi"/>
          <w:color w:val="000000"/>
          <w:sz w:val="22"/>
          <w:szCs w:val="22"/>
        </w:rPr>
        <w:t xml:space="preserve">(3), 418-431. </w:t>
      </w:r>
      <w:proofErr w:type="gramStart"/>
      <w:r w:rsidRPr="00E045C0">
        <w:rPr>
          <w:rFonts w:asciiTheme="minorHAnsi" w:hAnsiTheme="minorHAnsi"/>
          <w:color w:val="000000"/>
          <w:sz w:val="22"/>
          <w:szCs w:val="22"/>
        </w:rPr>
        <w:t>doi:</w:t>
      </w:r>
      <w:proofErr w:type="gramEnd"/>
      <w:r w:rsidRPr="00E045C0">
        <w:rPr>
          <w:rFonts w:asciiTheme="minorHAnsi" w:hAnsiTheme="minorHAnsi"/>
          <w:color w:val="000000"/>
          <w:sz w:val="22"/>
          <w:szCs w:val="22"/>
        </w:rPr>
        <w:t>10.1007/s13412-015-0292-2</w:t>
      </w:r>
    </w:p>
    <w:p w:rsidR="00E045C0" w:rsidRPr="00E045C0" w:rsidRDefault="00E045C0" w:rsidP="00E045C0">
      <w:pPr>
        <w:pStyle w:val="NormalWeb"/>
        <w:shd w:val="clear" w:color="auto" w:fill="FFFFFF"/>
        <w:spacing w:after="0" w:afterAutospacing="0"/>
        <w:ind w:left="720" w:right="75" w:hanging="720"/>
        <w:rPr>
          <w:rFonts w:asciiTheme="minorHAnsi" w:hAnsiTheme="minorHAnsi"/>
          <w:color w:val="000000"/>
          <w:sz w:val="22"/>
          <w:szCs w:val="22"/>
        </w:rPr>
      </w:pPr>
      <w:r w:rsidRPr="00E045C0">
        <w:rPr>
          <w:rFonts w:asciiTheme="minorHAnsi" w:hAnsiTheme="minorHAnsi"/>
          <w:color w:val="000000"/>
          <w:sz w:val="22"/>
          <w:szCs w:val="22"/>
        </w:rPr>
        <w:t>Howard, P. H. (2016).</w:t>
      </w:r>
      <w:r w:rsidRPr="00E045C0">
        <w:rPr>
          <w:rStyle w:val="apple-converted-space"/>
          <w:rFonts w:asciiTheme="minorHAnsi" w:hAnsiTheme="minorHAnsi"/>
          <w:color w:val="000000"/>
          <w:sz w:val="22"/>
          <w:szCs w:val="22"/>
        </w:rPr>
        <w:t> </w:t>
      </w:r>
      <w:r w:rsidRPr="00E045C0">
        <w:rPr>
          <w:rFonts w:asciiTheme="minorHAnsi" w:hAnsiTheme="minorHAnsi"/>
          <w:i/>
          <w:iCs/>
          <w:color w:val="000000"/>
          <w:sz w:val="22"/>
          <w:szCs w:val="22"/>
        </w:rPr>
        <w:t>Concentration and Power in the Food System: Who Controls What We Eat?</w:t>
      </w:r>
      <w:r w:rsidRPr="00E045C0">
        <w:rPr>
          <w:rStyle w:val="apple-converted-space"/>
          <w:rFonts w:asciiTheme="minorHAnsi" w:hAnsiTheme="minorHAnsi"/>
          <w:color w:val="000000"/>
          <w:sz w:val="22"/>
          <w:szCs w:val="22"/>
        </w:rPr>
        <w:t> </w:t>
      </w:r>
      <w:r w:rsidRPr="00E045C0">
        <w:rPr>
          <w:rFonts w:asciiTheme="minorHAnsi" w:hAnsiTheme="minorHAnsi"/>
          <w:color w:val="000000"/>
          <w:sz w:val="22"/>
          <w:szCs w:val="22"/>
        </w:rPr>
        <w:t>London: Bloomsbury Academic Publishing.</w:t>
      </w:r>
    </w:p>
    <w:p w:rsidR="008558F8" w:rsidRPr="008558F8" w:rsidRDefault="008558F8" w:rsidP="008558F8">
      <w:pPr>
        <w:shd w:val="clear" w:color="auto" w:fill="FFFFFF"/>
        <w:spacing w:before="100" w:beforeAutospacing="1" w:after="0" w:line="240" w:lineRule="auto"/>
        <w:ind w:left="720" w:right="75" w:hanging="720"/>
        <w:rPr>
          <w:rFonts w:eastAsia="Times New Roman" w:cs="Times New Roman"/>
          <w:color w:val="000000"/>
        </w:rPr>
      </w:pPr>
      <w:proofErr w:type="spellStart"/>
      <w:r w:rsidRPr="008558F8">
        <w:rPr>
          <w:rFonts w:eastAsia="Times New Roman" w:cs="Times New Roman"/>
          <w:color w:val="000000"/>
        </w:rPr>
        <w:t>Ivanic</w:t>
      </w:r>
      <w:proofErr w:type="spellEnd"/>
      <w:r w:rsidRPr="008558F8">
        <w:rPr>
          <w:rFonts w:eastAsia="Times New Roman" w:cs="Times New Roman"/>
          <w:color w:val="000000"/>
        </w:rPr>
        <w:t xml:space="preserve">, M., &amp; Martin, W. (2014). Short-and long-run impacts of food price changes on </w:t>
      </w:r>
      <w:proofErr w:type="spellStart"/>
      <w:r w:rsidRPr="008558F8">
        <w:rPr>
          <w:rFonts w:eastAsia="Times New Roman" w:cs="Times New Roman"/>
          <w:color w:val="000000"/>
        </w:rPr>
        <w:t>poverty.</w:t>
      </w:r>
      <w:r w:rsidRPr="008558F8">
        <w:rPr>
          <w:rFonts w:eastAsia="Times New Roman" w:cs="Times New Roman"/>
          <w:i/>
          <w:iCs/>
          <w:color w:val="000000"/>
        </w:rPr>
        <w:t>World</w:t>
      </w:r>
      <w:proofErr w:type="spellEnd"/>
      <w:r w:rsidRPr="008558F8">
        <w:rPr>
          <w:rFonts w:eastAsia="Times New Roman" w:cs="Times New Roman"/>
          <w:i/>
          <w:iCs/>
          <w:color w:val="000000"/>
        </w:rPr>
        <w:t xml:space="preserve"> Bank Policy Research Working </w:t>
      </w:r>
      <w:proofErr w:type="gramStart"/>
      <w:r w:rsidRPr="008558F8">
        <w:rPr>
          <w:rFonts w:eastAsia="Times New Roman" w:cs="Times New Roman"/>
          <w:i/>
          <w:iCs/>
          <w:color w:val="000000"/>
        </w:rPr>
        <w:t>Paper</w:t>
      </w:r>
      <w:r w:rsidRPr="008558F8">
        <w:rPr>
          <w:rFonts w:eastAsia="Times New Roman" w:cs="Times New Roman"/>
          <w:color w:val="000000"/>
        </w:rPr>
        <w:t>(</w:t>
      </w:r>
      <w:proofErr w:type="gramEnd"/>
      <w:r w:rsidRPr="008558F8">
        <w:rPr>
          <w:rFonts w:eastAsia="Times New Roman" w:cs="Times New Roman"/>
          <w:color w:val="000000"/>
        </w:rPr>
        <w:t>7011).</w:t>
      </w:r>
    </w:p>
    <w:p w:rsidR="009B542F" w:rsidRPr="009B542F" w:rsidRDefault="009B542F" w:rsidP="009B542F">
      <w:pPr>
        <w:shd w:val="clear" w:color="auto" w:fill="FFFFFF"/>
        <w:spacing w:before="100" w:beforeAutospacing="1" w:after="0" w:line="240" w:lineRule="auto"/>
        <w:ind w:left="720" w:right="75" w:hanging="720"/>
        <w:rPr>
          <w:rFonts w:eastAsia="Times New Roman" w:cs="Times New Roman"/>
          <w:color w:val="000000"/>
        </w:rPr>
      </w:pPr>
      <w:r w:rsidRPr="009B542F">
        <w:rPr>
          <w:rFonts w:eastAsia="Times New Roman" w:cs="Times New Roman"/>
          <w:color w:val="000000"/>
        </w:rPr>
        <w:t xml:space="preserve">Jones, A. D., </w:t>
      </w:r>
      <w:proofErr w:type="spellStart"/>
      <w:r w:rsidRPr="009B542F">
        <w:rPr>
          <w:rFonts w:eastAsia="Times New Roman" w:cs="Times New Roman"/>
          <w:color w:val="000000"/>
        </w:rPr>
        <w:t>Shrinivas</w:t>
      </w:r>
      <w:proofErr w:type="spellEnd"/>
      <w:r w:rsidRPr="009B542F">
        <w:rPr>
          <w:rFonts w:eastAsia="Times New Roman" w:cs="Times New Roman"/>
          <w:color w:val="000000"/>
        </w:rPr>
        <w:t>, A., &amp; Bezner-Kerr, R. (2014). Farm production diversity is associated with greater household dietary diversity in Malawi: Findings from nationally representative data. </w:t>
      </w:r>
      <w:r w:rsidRPr="009B542F">
        <w:rPr>
          <w:rFonts w:eastAsia="Times New Roman" w:cs="Times New Roman"/>
          <w:i/>
          <w:iCs/>
          <w:color w:val="000000"/>
        </w:rPr>
        <w:t>Food Policy, 46</w:t>
      </w:r>
      <w:r w:rsidRPr="009B542F">
        <w:rPr>
          <w:rFonts w:eastAsia="Times New Roman" w:cs="Times New Roman"/>
          <w:color w:val="000000"/>
        </w:rPr>
        <w:t xml:space="preserve">(0), 1-12. </w:t>
      </w:r>
      <w:proofErr w:type="spellStart"/>
      <w:r w:rsidRPr="009B542F">
        <w:rPr>
          <w:rFonts w:eastAsia="Times New Roman" w:cs="Times New Roman"/>
          <w:color w:val="000000"/>
        </w:rPr>
        <w:t>doi:http</w:t>
      </w:r>
      <w:proofErr w:type="spellEnd"/>
      <w:r w:rsidRPr="009B542F">
        <w:rPr>
          <w:rFonts w:eastAsia="Times New Roman" w:cs="Times New Roman"/>
          <w:color w:val="000000"/>
        </w:rPr>
        <w:t>://dx.doi.org/10.1016/j.foodpol.2014.02.001</w:t>
      </w:r>
    </w:p>
    <w:p w:rsidR="008558F8" w:rsidRPr="008558F8" w:rsidRDefault="008558F8" w:rsidP="008558F8">
      <w:pPr>
        <w:shd w:val="clear" w:color="auto" w:fill="FFFFFF"/>
        <w:spacing w:before="100" w:beforeAutospacing="1" w:after="0" w:line="240" w:lineRule="auto"/>
        <w:ind w:left="720" w:right="75" w:hanging="720"/>
        <w:rPr>
          <w:rFonts w:eastAsia="Times New Roman" w:cs="Times New Roman"/>
          <w:color w:val="000000"/>
        </w:rPr>
      </w:pPr>
      <w:r w:rsidRPr="008558F8">
        <w:rPr>
          <w:rFonts w:eastAsia="Times New Roman" w:cs="Times New Roman"/>
          <w:color w:val="000000"/>
        </w:rPr>
        <w:t xml:space="preserve">Lang, T., </w:t>
      </w:r>
      <w:proofErr w:type="spellStart"/>
      <w:r w:rsidRPr="008558F8">
        <w:rPr>
          <w:rFonts w:eastAsia="Times New Roman" w:cs="Times New Roman"/>
          <w:color w:val="000000"/>
        </w:rPr>
        <w:t>Barling</w:t>
      </w:r>
      <w:proofErr w:type="spellEnd"/>
      <w:r w:rsidRPr="008558F8">
        <w:rPr>
          <w:rFonts w:eastAsia="Times New Roman" w:cs="Times New Roman"/>
          <w:color w:val="000000"/>
        </w:rPr>
        <w:t xml:space="preserve">, D., &amp; </w:t>
      </w:r>
      <w:proofErr w:type="spellStart"/>
      <w:r w:rsidRPr="008558F8">
        <w:rPr>
          <w:rFonts w:eastAsia="Times New Roman" w:cs="Times New Roman"/>
          <w:color w:val="000000"/>
        </w:rPr>
        <w:t>Caraher</w:t>
      </w:r>
      <w:proofErr w:type="spellEnd"/>
      <w:r w:rsidRPr="008558F8">
        <w:rPr>
          <w:rFonts w:eastAsia="Times New Roman" w:cs="Times New Roman"/>
          <w:color w:val="000000"/>
        </w:rPr>
        <w:t>, M. (2009). </w:t>
      </w:r>
      <w:r w:rsidRPr="008558F8">
        <w:rPr>
          <w:rFonts w:eastAsia="Times New Roman" w:cs="Times New Roman"/>
          <w:i/>
          <w:iCs/>
          <w:color w:val="000000"/>
        </w:rPr>
        <w:t>Food policy: Integrating health, environment &amp; society</w:t>
      </w:r>
      <w:r w:rsidRPr="008558F8">
        <w:rPr>
          <w:rFonts w:eastAsia="Times New Roman" w:cs="Times New Roman"/>
          <w:color w:val="000000"/>
        </w:rPr>
        <w:t>. Oxford, UK; New York, USA: Oxford University Press.</w:t>
      </w:r>
    </w:p>
    <w:p w:rsidR="008558F8" w:rsidRPr="008558F8" w:rsidRDefault="008558F8" w:rsidP="008558F8">
      <w:pPr>
        <w:shd w:val="clear" w:color="auto" w:fill="FFFFFF"/>
        <w:spacing w:before="100" w:beforeAutospacing="1" w:after="0" w:line="240" w:lineRule="auto"/>
        <w:ind w:left="720" w:right="75" w:hanging="720"/>
        <w:rPr>
          <w:rFonts w:eastAsia="Times New Roman" w:cs="Times New Roman"/>
          <w:color w:val="000000"/>
        </w:rPr>
      </w:pPr>
      <w:r w:rsidRPr="008558F8">
        <w:rPr>
          <w:rFonts w:eastAsia="Times New Roman" w:cs="Times New Roman"/>
          <w:color w:val="000000"/>
        </w:rPr>
        <w:t>McKeon, N. (2014). </w:t>
      </w:r>
      <w:r w:rsidRPr="008558F8">
        <w:rPr>
          <w:rFonts w:eastAsia="Times New Roman" w:cs="Times New Roman"/>
          <w:i/>
          <w:iCs/>
          <w:color w:val="000000"/>
        </w:rPr>
        <w:t>Food Security Governance: Empowering Communities, Regulating Corporations</w:t>
      </w:r>
      <w:r w:rsidRPr="008558F8">
        <w:rPr>
          <w:rFonts w:eastAsia="Times New Roman" w:cs="Times New Roman"/>
          <w:color w:val="000000"/>
        </w:rPr>
        <w:t>: Routledge.</w:t>
      </w:r>
    </w:p>
    <w:p w:rsidR="00E045C0" w:rsidRPr="00E045C0" w:rsidRDefault="00E045C0" w:rsidP="00E045C0">
      <w:pPr>
        <w:pStyle w:val="NormalWeb"/>
        <w:shd w:val="clear" w:color="auto" w:fill="FFFFFF"/>
        <w:spacing w:after="0" w:afterAutospacing="0"/>
        <w:ind w:left="720" w:right="75" w:hanging="720"/>
        <w:rPr>
          <w:rFonts w:asciiTheme="minorHAnsi" w:hAnsiTheme="minorHAnsi"/>
          <w:color w:val="000000"/>
          <w:sz w:val="22"/>
          <w:szCs w:val="22"/>
        </w:rPr>
      </w:pPr>
      <w:r w:rsidRPr="00E045C0">
        <w:rPr>
          <w:rFonts w:asciiTheme="minorHAnsi" w:hAnsiTheme="minorHAnsi"/>
          <w:color w:val="000000"/>
          <w:sz w:val="22"/>
          <w:szCs w:val="22"/>
        </w:rPr>
        <w:t>Moss, M. (2013).</w:t>
      </w:r>
      <w:r w:rsidRPr="00E045C0">
        <w:rPr>
          <w:rStyle w:val="apple-converted-space"/>
          <w:rFonts w:asciiTheme="minorHAnsi" w:hAnsiTheme="minorHAnsi"/>
          <w:color w:val="000000"/>
          <w:sz w:val="22"/>
          <w:szCs w:val="22"/>
        </w:rPr>
        <w:t> </w:t>
      </w:r>
      <w:r w:rsidRPr="00E045C0">
        <w:rPr>
          <w:rFonts w:asciiTheme="minorHAnsi" w:hAnsiTheme="minorHAnsi"/>
          <w:i/>
          <w:iCs/>
          <w:color w:val="000000"/>
          <w:sz w:val="22"/>
          <w:szCs w:val="22"/>
        </w:rPr>
        <w:t>Salt, sugar, fat: how the food giants hooked us</w:t>
      </w:r>
      <w:r w:rsidRPr="00E045C0">
        <w:rPr>
          <w:rFonts w:asciiTheme="minorHAnsi" w:hAnsiTheme="minorHAnsi"/>
          <w:color w:val="000000"/>
          <w:sz w:val="22"/>
          <w:szCs w:val="22"/>
        </w:rPr>
        <w:t>: Random House.</w:t>
      </w:r>
    </w:p>
    <w:p w:rsidR="00E045C0" w:rsidRPr="00E045C0" w:rsidRDefault="00E045C0" w:rsidP="00E045C0">
      <w:pPr>
        <w:pStyle w:val="NormalWeb"/>
        <w:shd w:val="clear" w:color="auto" w:fill="FFFFFF"/>
        <w:spacing w:after="0" w:afterAutospacing="0"/>
        <w:ind w:left="720" w:right="75" w:hanging="720"/>
        <w:rPr>
          <w:rFonts w:asciiTheme="minorHAnsi" w:hAnsiTheme="minorHAnsi"/>
          <w:color w:val="000000"/>
          <w:sz w:val="22"/>
          <w:szCs w:val="22"/>
        </w:rPr>
      </w:pPr>
      <w:r w:rsidRPr="00E045C0">
        <w:rPr>
          <w:rFonts w:asciiTheme="minorHAnsi" w:hAnsiTheme="minorHAnsi"/>
          <w:color w:val="000000"/>
          <w:sz w:val="22"/>
          <w:szCs w:val="22"/>
        </w:rPr>
        <w:lastRenderedPageBreak/>
        <w:t>Nestle, M. (2013).</w:t>
      </w:r>
      <w:r w:rsidRPr="00E045C0">
        <w:rPr>
          <w:rStyle w:val="apple-converted-space"/>
          <w:rFonts w:asciiTheme="minorHAnsi" w:hAnsiTheme="minorHAnsi"/>
          <w:color w:val="000000"/>
          <w:sz w:val="22"/>
          <w:szCs w:val="22"/>
        </w:rPr>
        <w:t> </w:t>
      </w:r>
      <w:r w:rsidRPr="00E045C0">
        <w:rPr>
          <w:rFonts w:asciiTheme="minorHAnsi" w:hAnsiTheme="minorHAnsi"/>
          <w:i/>
          <w:iCs/>
          <w:color w:val="000000"/>
          <w:sz w:val="22"/>
          <w:szCs w:val="22"/>
        </w:rPr>
        <w:t>Food politics: How the food industry influences nutrition and health</w:t>
      </w:r>
      <w:r w:rsidRPr="00E045C0">
        <w:rPr>
          <w:rFonts w:asciiTheme="minorHAnsi" w:hAnsiTheme="minorHAnsi"/>
          <w:color w:val="000000"/>
          <w:sz w:val="22"/>
          <w:szCs w:val="22"/>
        </w:rPr>
        <w:t>: University of California Press.</w:t>
      </w:r>
    </w:p>
    <w:p w:rsidR="00E045C0" w:rsidRPr="00E045C0" w:rsidRDefault="00E045C0" w:rsidP="00E045C0">
      <w:pPr>
        <w:shd w:val="clear" w:color="auto" w:fill="FFFFFF"/>
        <w:spacing w:before="100" w:beforeAutospacing="1" w:after="0" w:line="240" w:lineRule="auto"/>
        <w:ind w:left="720" w:right="75" w:hanging="720"/>
        <w:rPr>
          <w:rFonts w:eastAsia="Times New Roman" w:cs="Times New Roman"/>
          <w:color w:val="000000"/>
        </w:rPr>
      </w:pPr>
      <w:r w:rsidRPr="00696565">
        <w:rPr>
          <w:rFonts w:eastAsia="Times New Roman" w:cs="Times New Roman"/>
          <w:color w:val="000000"/>
        </w:rPr>
        <w:t>Pretty, J., Brett, C., Gee, D., Hine, R., Mason, C., Morison, J</w:t>
      </w:r>
      <w:proofErr w:type="gramStart"/>
      <w:r w:rsidRPr="00696565">
        <w:rPr>
          <w:rFonts w:eastAsia="Times New Roman" w:cs="Times New Roman"/>
          <w:color w:val="000000"/>
        </w:rPr>
        <w:t>., . . .</w:t>
      </w:r>
      <w:proofErr w:type="gramEnd"/>
      <w:r w:rsidRPr="00696565">
        <w:rPr>
          <w:rFonts w:eastAsia="Times New Roman" w:cs="Times New Roman"/>
          <w:color w:val="000000"/>
        </w:rPr>
        <w:t xml:space="preserve"> Dobbs, T. (2001). Policy Challenges and Priorities for Internalizing the Externalities of Modern Agriculture. </w:t>
      </w:r>
      <w:r w:rsidRPr="00696565">
        <w:rPr>
          <w:rFonts w:eastAsia="Times New Roman" w:cs="Times New Roman"/>
          <w:i/>
          <w:iCs/>
          <w:color w:val="000000"/>
        </w:rPr>
        <w:t>Journal of Environmental Planning and Management, 44</w:t>
      </w:r>
      <w:r w:rsidRPr="00696565">
        <w:rPr>
          <w:rFonts w:eastAsia="Times New Roman" w:cs="Times New Roman"/>
          <w:color w:val="000000"/>
        </w:rPr>
        <w:t xml:space="preserve">(2), 263-283. </w:t>
      </w:r>
      <w:proofErr w:type="gramStart"/>
      <w:r w:rsidRPr="00696565">
        <w:rPr>
          <w:rFonts w:eastAsia="Times New Roman" w:cs="Times New Roman"/>
          <w:color w:val="000000"/>
        </w:rPr>
        <w:t>doi:</w:t>
      </w:r>
      <w:proofErr w:type="gramEnd"/>
      <w:r w:rsidRPr="00696565">
        <w:rPr>
          <w:rFonts w:eastAsia="Times New Roman" w:cs="Times New Roman"/>
          <w:color w:val="000000"/>
        </w:rPr>
        <w:t>10.1080/09640560123782</w:t>
      </w:r>
    </w:p>
    <w:p w:rsidR="009B542F" w:rsidRPr="009B542F" w:rsidRDefault="009B542F" w:rsidP="009B542F">
      <w:pPr>
        <w:shd w:val="clear" w:color="auto" w:fill="FFFFFF"/>
        <w:spacing w:before="100" w:beforeAutospacing="1" w:after="0" w:line="240" w:lineRule="auto"/>
        <w:ind w:left="720" w:right="75" w:hanging="720"/>
        <w:rPr>
          <w:rFonts w:eastAsia="Times New Roman" w:cs="Times New Roman"/>
          <w:color w:val="000000"/>
        </w:rPr>
      </w:pPr>
      <w:r w:rsidRPr="009B542F">
        <w:rPr>
          <w:rFonts w:eastAsia="Times New Roman" w:cs="Times New Roman"/>
          <w:color w:val="000000"/>
        </w:rPr>
        <w:t>Smith, L. C., &amp; Haddad, L. (2015). Reducing Child Undernutrition: Past Drivers and Priorities for the Post-MDG Era. </w:t>
      </w:r>
      <w:r w:rsidRPr="009B542F">
        <w:rPr>
          <w:rFonts w:eastAsia="Times New Roman" w:cs="Times New Roman"/>
          <w:i/>
          <w:iCs/>
          <w:color w:val="000000"/>
        </w:rPr>
        <w:t>World Development, 68</w:t>
      </w:r>
      <w:r w:rsidRPr="009B542F">
        <w:rPr>
          <w:rFonts w:eastAsia="Times New Roman" w:cs="Times New Roman"/>
          <w:color w:val="000000"/>
        </w:rPr>
        <w:t xml:space="preserve">(0), 180-204. </w:t>
      </w:r>
      <w:proofErr w:type="spellStart"/>
      <w:r w:rsidRPr="009B542F">
        <w:rPr>
          <w:rFonts w:eastAsia="Times New Roman" w:cs="Times New Roman"/>
          <w:color w:val="000000"/>
        </w:rPr>
        <w:t>doi:http</w:t>
      </w:r>
      <w:proofErr w:type="spellEnd"/>
      <w:r w:rsidRPr="009B542F">
        <w:rPr>
          <w:rFonts w:eastAsia="Times New Roman" w:cs="Times New Roman"/>
          <w:color w:val="000000"/>
        </w:rPr>
        <w:t>://dx.doi.org/10.1016/j.worlddev.2014.11.014</w:t>
      </w:r>
    </w:p>
    <w:p w:rsidR="009B542F" w:rsidRPr="009B542F" w:rsidRDefault="009B542F" w:rsidP="009B542F">
      <w:pPr>
        <w:shd w:val="clear" w:color="auto" w:fill="FFFFFF"/>
        <w:spacing w:before="100" w:beforeAutospacing="1" w:after="0" w:line="240" w:lineRule="auto"/>
        <w:ind w:left="720" w:right="75" w:hanging="720"/>
        <w:rPr>
          <w:rFonts w:eastAsia="Times New Roman" w:cs="Times New Roman"/>
          <w:color w:val="000000"/>
        </w:rPr>
      </w:pPr>
      <w:r w:rsidRPr="009B542F">
        <w:rPr>
          <w:rFonts w:eastAsia="Times New Roman" w:cs="Times New Roman"/>
          <w:color w:val="000000"/>
        </w:rPr>
        <w:t xml:space="preserve">Smith, L. C., Ramakrishnan, U., </w:t>
      </w:r>
      <w:proofErr w:type="spellStart"/>
      <w:r w:rsidRPr="009B542F">
        <w:rPr>
          <w:rFonts w:eastAsia="Times New Roman" w:cs="Times New Roman"/>
          <w:color w:val="000000"/>
        </w:rPr>
        <w:t>Ndiaye</w:t>
      </w:r>
      <w:proofErr w:type="spellEnd"/>
      <w:r w:rsidRPr="009B542F">
        <w:rPr>
          <w:rFonts w:eastAsia="Times New Roman" w:cs="Times New Roman"/>
          <w:color w:val="000000"/>
        </w:rPr>
        <w:t xml:space="preserve">, A., Haddad, L., &amp; </w:t>
      </w:r>
      <w:proofErr w:type="spellStart"/>
      <w:r w:rsidRPr="009B542F">
        <w:rPr>
          <w:rFonts w:eastAsia="Times New Roman" w:cs="Times New Roman"/>
          <w:color w:val="000000"/>
        </w:rPr>
        <w:t>Martorell</w:t>
      </w:r>
      <w:proofErr w:type="spellEnd"/>
      <w:r w:rsidRPr="009B542F">
        <w:rPr>
          <w:rFonts w:eastAsia="Times New Roman" w:cs="Times New Roman"/>
          <w:color w:val="000000"/>
        </w:rPr>
        <w:t>, R. (2003). </w:t>
      </w:r>
      <w:r w:rsidRPr="009B542F">
        <w:rPr>
          <w:rFonts w:eastAsia="Times New Roman" w:cs="Times New Roman"/>
          <w:i/>
          <w:iCs/>
          <w:color w:val="000000"/>
        </w:rPr>
        <w:t>The importance of women's status for child nutri</w:t>
      </w:r>
      <w:r>
        <w:rPr>
          <w:rFonts w:eastAsia="Times New Roman" w:cs="Times New Roman"/>
          <w:i/>
          <w:iCs/>
          <w:color w:val="000000"/>
        </w:rPr>
        <w:t>ti</w:t>
      </w:r>
      <w:r w:rsidRPr="009B542F">
        <w:rPr>
          <w:rFonts w:eastAsia="Times New Roman" w:cs="Times New Roman"/>
          <w:i/>
          <w:iCs/>
          <w:color w:val="000000"/>
        </w:rPr>
        <w:t>on in developing countries</w:t>
      </w:r>
      <w:r w:rsidRPr="009B542F">
        <w:rPr>
          <w:rFonts w:eastAsia="Times New Roman" w:cs="Times New Roman"/>
          <w:color w:val="000000"/>
        </w:rPr>
        <w:t> (131). Retrieved from Washington, D.C.: http://www.ifpri.org/publication/importance-womens-status-child-nutrition-developing-countries</w:t>
      </w:r>
    </w:p>
    <w:p w:rsidR="00696565" w:rsidRDefault="00E045C0" w:rsidP="00E045C0">
      <w:pPr>
        <w:pStyle w:val="NormalWeb"/>
        <w:shd w:val="clear" w:color="auto" w:fill="FFFFFF"/>
        <w:spacing w:after="0" w:afterAutospacing="0"/>
        <w:ind w:left="720" w:right="75" w:hanging="720"/>
        <w:rPr>
          <w:rFonts w:asciiTheme="minorHAnsi" w:hAnsiTheme="minorHAnsi"/>
          <w:color w:val="000000"/>
          <w:sz w:val="22"/>
          <w:szCs w:val="22"/>
        </w:rPr>
      </w:pPr>
      <w:r w:rsidRPr="00E045C0">
        <w:rPr>
          <w:rFonts w:asciiTheme="minorHAnsi" w:hAnsiTheme="minorHAnsi"/>
          <w:color w:val="000000"/>
          <w:sz w:val="22"/>
          <w:szCs w:val="22"/>
        </w:rPr>
        <w:t xml:space="preserve">Smith, T. G., </w:t>
      </w:r>
      <w:proofErr w:type="spellStart"/>
      <w:r w:rsidRPr="00E045C0">
        <w:rPr>
          <w:rFonts w:asciiTheme="minorHAnsi" w:hAnsiTheme="minorHAnsi"/>
          <w:color w:val="000000"/>
          <w:sz w:val="22"/>
          <w:szCs w:val="22"/>
        </w:rPr>
        <w:t>Chouinard</w:t>
      </w:r>
      <w:proofErr w:type="spellEnd"/>
      <w:r w:rsidRPr="00E045C0">
        <w:rPr>
          <w:rFonts w:asciiTheme="minorHAnsi" w:hAnsiTheme="minorHAnsi"/>
          <w:color w:val="000000"/>
          <w:sz w:val="22"/>
          <w:szCs w:val="22"/>
        </w:rPr>
        <w:t xml:space="preserve">, H. H., &amp; </w:t>
      </w:r>
      <w:proofErr w:type="spellStart"/>
      <w:r w:rsidRPr="00E045C0">
        <w:rPr>
          <w:rFonts w:asciiTheme="minorHAnsi" w:hAnsiTheme="minorHAnsi"/>
          <w:color w:val="000000"/>
          <w:sz w:val="22"/>
          <w:szCs w:val="22"/>
        </w:rPr>
        <w:t>Wandschneider</w:t>
      </w:r>
      <w:proofErr w:type="spellEnd"/>
      <w:r w:rsidRPr="00E045C0">
        <w:rPr>
          <w:rFonts w:asciiTheme="minorHAnsi" w:hAnsiTheme="minorHAnsi"/>
          <w:color w:val="000000"/>
          <w:sz w:val="22"/>
          <w:szCs w:val="22"/>
        </w:rPr>
        <w:t>, P. R. (2011). Waiting for the invisible hand: Novel products and the role of information in the modern market for food.</w:t>
      </w:r>
      <w:r w:rsidRPr="00E045C0">
        <w:rPr>
          <w:rStyle w:val="apple-converted-space"/>
          <w:rFonts w:asciiTheme="minorHAnsi" w:hAnsiTheme="minorHAnsi"/>
          <w:color w:val="000000"/>
          <w:sz w:val="22"/>
          <w:szCs w:val="22"/>
        </w:rPr>
        <w:t> </w:t>
      </w:r>
      <w:r w:rsidRPr="00E045C0">
        <w:rPr>
          <w:rFonts w:asciiTheme="minorHAnsi" w:hAnsiTheme="minorHAnsi"/>
          <w:i/>
          <w:iCs/>
          <w:color w:val="000000"/>
          <w:sz w:val="22"/>
          <w:szCs w:val="22"/>
        </w:rPr>
        <w:t>Food Policy, 36</w:t>
      </w:r>
      <w:r w:rsidRPr="00E045C0">
        <w:rPr>
          <w:rFonts w:asciiTheme="minorHAnsi" w:hAnsiTheme="minorHAnsi"/>
          <w:color w:val="000000"/>
          <w:sz w:val="22"/>
          <w:szCs w:val="22"/>
        </w:rPr>
        <w:t xml:space="preserve">(2), 239-249.  </w:t>
      </w:r>
    </w:p>
    <w:p w:rsidR="008558F8" w:rsidRPr="008558F8" w:rsidRDefault="008558F8" w:rsidP="008558F8">
      <w:pPr>
        <w:shd w:val="clear" w:color="auto" w:fill="FFFFFF"/>
        <w:spacing w:before="100" w:beforeAutospacing="1" w:after="0" w:line="240" w:lineRule="auto"/>
        <w:ind w:left="720" w:right="75" w:hanging="720"/>
        <w:rPr>
          <w:rFonts w:eastAsia="Times New Roman" w:cs="Times New Roman"/>
          <w:color w:val="000000"/>
        </w:rPr>
      </w:pPr>
      <w:proofErr w:type="spellStart"/>
      <w:r w:rsidRPr="008558F8">
        <w:rPr>
          <w:rFonts w:eastAsia="Times New Roman" w:cs="Times New Roman"/>
          <w:color w:val="000000"/>
        </w:rPr>
        <w:t>Thebo</w:t>
      </w:r>
      <w:proofErr w:type="spellEnd"/>
      <w:r w:rsidRPr="008558F8">
        <w:rPr>
          <w:rFonts w:eastAsia="Times New Roman" w:cs="Times New Roman"/>
          <w:color w:val="000000"/>
        </w:rPr>
        <w:t xml:space="preserve">, A. L., </w:t>
      </w:r>
      <w:proofErr w:type="spellStart"/>
      <w:r w:rsidRPr="008558F8">
        <w:rPr>
          <w:rFonts w:eastAsia="Times New Roman" w:cs="Times New Roman"/>
          <w:color w:val="000000"/>
        </w:rPr>
        <w:t>Drechsel</w:t>
      </w:r>
      <w:proofErr w:type="spellEnd"/>
      <w:r w:rsidRPr="008558F8">
        <w:rPr>
          <w:rFonts w:eastAsia="Times New Roman" w:cs="Times New Roman"/>
          <w:color w:val="000000"/>
        </w:rPr>
        <w:t xml:space="preserve">, P., &amp; </w:t>
      </w:r>
      <w:proofErr w:type="spellStart"/>
      <w:r w:rsidRPr="008558F8">
        <w:rPr>
          <w:rFonts w:eastAsia="Times New Roman" w:cs="Times New Roman"/>
          <w:color w:val="000000"/>
        </w:rPr>
        <w:t>Lambin</w:t>
      </w:r>
      <w:proofErr w:type="spellEnd"/>
      <w:r w:rsidRPr="008558F8">
        <w:rPr>
          <w:rFonts w:eastAsia="Times New Roman" w:cs="Times New Roman"/>
          <w:color w:val="000000"/>
        </w:rPr>
        <w:t xml:space="preserve">, E. F. (2014). Global assessment of urban and </w:t>
      </w:r>
      <w:proofErr w:type="spellStart"/>
      <w:r w:rsidRPr="008558F8">
        <w:rPr>
          <w:rFonts w:eastAsia="Times New Roman" w:cs="Times New Roman"/>
          <w:color w:val="000000"/>
        </w:rPr>
        <w:t>peri</w:t>
      </w:r>
      <w:proofErr w:type="spellEnd"/>
      <w:r w:rsidRPr="008558F8">
        <w:rPr>
          <w:rFonts w:eastAsia="Times New Roman" w:cs="Times New Roman"/>
          <w:color w:val="000000"/>
        </w:rPr>
        <w:t xml:space="preserve">-urban agriculture: irrigated and </w:t>
      </w:r>
      <w:proofErr w:type="spellStart"/>
      <w:r w:rsidRPr="008558F8">
        <w:rPr>
          <w:rFonts w:eastAsia="Times New Roman" w:cs="Times New Roman"/>
          <w:color w:val="000000"/>
        </w:rPr>
        <w:t>rainfed</w:t>
      </w:r>
      <w:proofErr w:type="spellEnd"/>
      <w:r w:rsidRPr="008558F8">
        <w:rPr>
          <w:rFonts w:eastAsia="Times New Roman" w:cs="Times New Roman"/>
          <w:color w:val="000000"/>
        </w:rPr>
        <w:t xml:space="preserve"> croplands. </w:t>
      </w:r>
      <w:r w:rsidRPr="008558F8">
        <w:rPr>
          <w:rFonts w:eastAsia="Times New Roman" w:cs="Times New Roman"/>
          <w:i/>
          <w:iCs/>
          <w:color w:val="000000"/>
        </w:rPr>
        <w:t>Environmental Research Letters, 9</w:t>
      </w:r>
      <w:r w:rsidRPr="008558F8">
        <w:rPr>
          <w:rFonts w:eastAsia="Times New Roman" w:cs="Times New Roman"/>
          <w:color w:val="000000"/>
        </w:rPr>
        <w:t>(11), 114002.</w:t>
      </w:r>
    </w:p>
    <w:p w:rsidR="008558F8" w:rsidRPr="008558F8" w:rsidRDefault="008558F8" w:rsidP="008558F8">
      <w:pPr>
        <w:shd w:val="clear" w:color="auto" w:fill="FFFFFF"/>
        <w:spacing w:before="100" w:beforeAutospacing="1" w:after="0" w:line="240" w:lineRule="auto"/>
        <w:ind w:left="720" w:right="75" w:hanging="720"/>
        <w:rPr>
          <w:rFonts w:eastAsia="Times New Roman" w:cs="Times New Roman"/>
          <w:color w:val="000000"/>
        </w:rPr>
      </w:pPr>
      <w:r w:rsidRPr="008558F8">
        <w:rPr>
          <w:rFonts w:eastAsia="Times New Roman" w:cs="Times New Roman"/>
          <w:color w:val="000000"/>
        </w:rPr>
        <w:t>Weis, T. (2007). </w:t>
      </w:r>
      <w:r w:rsidRPr="008558F8">
        <w:rPr>
          <w:rFonts w:eastAsia="Times New Roman" w:cs="Times New Roman"/>
          <w:i/>
          <w:iCs/>
          <w:color w:val="000000"/>
        </w:rPr>
        <w:t>The Global Food Economy: The Battle for the Future of Farming</w:t>
      </w:r>
      <w:r w:rsidRPr="008558F8">
        <w:rPr>
          <w:rFonts w:eastAsia="Times New Roman" w:cs="Times New Roman"/>
          <w:color w:val="000000"/>
        </w:rPr>
        <w:t xml:space="preserve">. </w:t>
      </w:r>
      <w:proofErr w:type="spellStart"/>
      <w:r w:rsidRPr="008558F8">
        <w:rPr>
          <w:rFonts w:eastAsia="Times New Roman" w:cs="Times New Roman"/>
          <w:color w:val="000000"/>
        </w:rPr>
        <w:t>Blackpoint</w:t>
      </w:r>
      <w:proofErr w:type="spellEnd"/>
      <w:r w:rsidRPr="008558F8">
        <w:rPr>
          <w:rFonts w:eastAsia="Times New Roman" w:cs="Times New Roman"/>
          <w:color w:val="000000"/>
        </w:rPr>
        <w:t>, NS. Canada: Fernwood Publishing.</w:t>
      </w:r>
    </w:p>
    <w:p w:rsidR="008558F8" w:rsidRPr="008558F8" w:rsidRDefault="008558F8" w:rsidP="008558F8">
      <w:pPr>
        <w:shd w:val="clear" w:color="auto" w:fill="FFFFFF"/>
        <w:spacing w:before="100" w:beforeAutospacing="1" w:after="0" w:line="240" w:lineRule="auto"/>
        <w:ind w:left="720" w:right="75" w:hanging="720"/>
        <w:rPr>
          <w:rFonts w:eastAsia="Times New Roman" w:cs="Times New Roman"/>
          <w:color w:val="000000"/>
        </w:rPr>
      </w:pPr>
      <w:proofErr w:type="spellStart"/>
      <w:r w:rsidRPr="008558F8">
        <w:rPr>
          <w:rFonts w:eastAsia="Times New Roman" w:cs="Times New Roman"/>
          <w:color w:val="000000"/>
        </w:rPr>
        <w:t>Zezza</w:t>
      </w:r>
      <w:proofErr w:type="spellEnd"/>
      <w:r w:rsidRPr="008558F8">
        <w:rPr>
          <w:rFonts w:eastAsia="Times New Roman" w:cs="Times New Roman"/>
          <w:color w:val="000000"/>
        </w:rPr>
        <w:t xml:space="preserve">, A., &amp; </w:t>
      </w:r>
      <w:proofErr w:type="spellStart"/>
      <w:r w:rsidRPr="008558F8">
        <w:rPr>
          <w:rFonts w:eastAsia="Times New Roman" w:cs="Times New Roman"/>
          <w:color w:val="000000"/>
        </w:rPr>
        <w:t>Tasciotti</w:t>
      </w:r>
      <w:proofErr w:type="spellEnd"/>
      <w:r w:rsidRPr="008558F8">
        <w:rPr>
          <w:rFonts w:eastAsia="Times New Roman" w:cs="Times New Roman"/>
          <w:color w:val="000000"/>
        </w:rPr>
        <w:t>, L. (2010). Urban agriculture, poverty, and food security: Empirical evidence from a sample of developing countries. </w:t>
      </w:r>
      <w:r w:rsidRPr="008558F8">
        <w:rPr>
          <w:rFonts w:eastAsia="Times New Roman" w:cs="Times New Roman"/>
          <w:i/>
          <w:iCs/>
          <w:color w:val="000000"/>
        </w:rPr>
        <w:t>Food Policy, 35</w:t>
      </w:r>
      <w:r w:rsidRPr="008558F8">
        <w:rPr>
          <w:rFonts w:eastAsia="Times New Roman" w:cs="Times New Roman"/>
          <w:color w:val="000000"/>
        </w:rPr>
        <w:t>(4), 265-273.</w:t>
      </w:r>
    </w:p>
    <w:p w:rsidR="008558F8" w:rsidRPr="00E045C0" w:rsidRDefault="008558F8" w:rsidP="008558F8">
      <w:pPr>
        <w:pStyle w:val="NormalWeb"/>
        <w:shd w:val="clear" w:color="auto" w:fill="FFFFFF"/>
        <w:spacing w:after="0" w:afterAutospacing="0"/>
        <w:ind w:right="75"/>
        <w:rPr>
          <w:rFonts w:asciiTheme="minorHAnsi" w:hAnsiTheme="minorHAnsi"/>
          <w:b/>
          <w:i/>
          <w:color w:val="000000"/>
          <w:sz w:val="22"/>
          <w:szCs w:val="22"/>
        </w:rPr>
      </w:pPr>
    </w:p>
    <w:sectPr w:rsidR="008558F8" w:rsidRPr="00E045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607A72"/>
    <w:multiLevelType w:val="hybridMultilevel"/>
    <w:tmpl w:val="FEF0EDE8"/>
    <w:lvl w:ilvl="0" w:tplc="F5487048">
      <w:start w:val="1"/>
      <w:numFmt w:val="decimal"/>
      <w:lvlText w:val="%1."/>
      <w:lvlJc w:val="left"/>
      <w:pPr>
        <w:ind w:left="720" w:hanging="360"/>
      </w:pPr>
      <w:rPr>
        <w:rFonts w:ascii="Trebuchet MS" w:hAnsi="Trebuchet MS" w:hint="default"/>
        <w:color w:val="000000"/>
        <w:sz w:val="2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041280"/>
    <w:multiLevelType w:val="hybridMultilevel"/>
    <w:tmpl w:val="FEF0EDE8"/>
    <w:lvl w:ilvl="0" w:tplc="F5487048">
      <w:start w:val="1"/>
      <w:numFmt w:val="decimal"/>
      <w:lvlText w:val="%1."/>
      <w:lvlJc w:val="left"/>
      <w:pPr>
        <w:ind w:left="720" w:hanging="360"/>
      </w:pPr>
      <w:rPr>
        <w:rFonts w:ascii="Trebuchet MS" w:hAnsi="Trebuchet MS" w:hint="default"/>
        <w:color w:val="000000"/>
        <w:sz w:val="2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DB8"/>
    <w:rsid w:val="0006796B"/>
    <w:rsid w:val="001D0628"/>
    <w:rsid w:val="002E6996"/>
    <w:rsid w:val="00530753"/>
    <w:rsid w:val="00696565"/>
    <w:rsid w:val="006F5716"/>
    <w:rsid w:val="00830443"/>
    <w:rsid w:val="00832C5E"/>
    <w:rsid w:val="008558F8"/>
    <w:rsid w:val="00870D8C"/>
    <w:rsid w:val="00990934"/>
    <w:rsid w:val="009B542F"/>
    <w:rsid w:val="00B07DB8"/>
    <w:rsid w:val="00C91313"/>
    <w:rsid w:val="00C946E2"/>
    <w:rsid w:val="00D43C19"/>
    <w:rsid w:val="00E045C0"/>
    <w:rsid w:val="00E251F9"/>
    <w:rsid w:val="00E467A2"/>
    <w:rsid w:val="00EA3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DF2DD-8FA5-46D1-8976-E753B645B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7DB8"/>
    <w:pPr>
      <w:ind w:left="720"/>
      <w:contextualSpacing/>
    </w:pPr>
  </w:style>
  <w:style w:type="paragraph" w:styleId="NormalWeb">
    <w:name w:val="Normal (Web)"/>
    <w:basedOn w:val="Normal"/>
    <w:uiPriority w:val="99"/>
    <w:unhideWhenUsed/>
    <w:rsid w:val="009909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90934"/>
  </w:style>
  <w:style w:type="character" w:styleId="Hyperlink">
    <w:name w:val="Hyperlink"/>
    <w:basedOn w:val="DefaultParagraphFont"/>
    <w:uiPriority w:val="99"/>
    <w:semiHidden/>
    <w:unhideWhenUsed/>
    <w:rsid w:val="00870D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48918">
      <w:bodyDiv w:val="1"/>
      <w:marLeft w:val="0"/>
      <w:marRight w:val="0"/>
      <w:marTop w:val="0"/>
      <w:marBottom w:val="0"/>
      <w:divBdr>
        <w:top w:val="none" w:sz="0" w:space="0" w:color="auto"/>
        <w:left w:val="none" w:sz="0" w:space="0" w:color="auto"/>
        <w:bottom w:val="none" w:sz="0" w:space="0" w:color="auto"/>
        <w:right w:val="none" w:sz="0" w:space="0" w:color="auto"/>
      </w:divBdr>
    </w:div>
    <w:div w:id="982462700">
      <w:bodyDiv w:val="1"/>
      <w:marLeft w:val="0"/>
      <w:marRight w:val="0"/>
      <w:marTop w:val="0"/>
      <w:marBottom w:val="0"/>
      <w:divBdr>
        <w:top w:val="none" w:sz="0" w:space="0" w:color="auto"/>
        <w:left w:val="none" w:sz="0" w:space="0" w:color="auto"/>
        <w:bottom w:val="none" w:sz="0" w:space="0" w:color="auto"/>
        <w:right w:val="none" w:sz="0" w:space="0" w:color="auto"/>
      </w:divBdr>
    </w:div>
    <w:div w:id="1129469022">
      <w:bodyDiv w:val="1"/>
      <w:marLeft w:val="0"/>
      <w:marRight w:val="0"/>
      <w:marTop w:val="0"/>
      <w:marBottom w:val="0"/>
      <w:divBdr>
        <w:top w:val="none" w:sz="0" w:space="0" w:color="auto"/>
        <w:left w:val="none" w:sz="0" w:space="0" w:color="auto"/>
        <w:bottom w:val="none" w:sz="0" w:space="0" w:color="auto"/>
        <w:right w:val="none" w:sz="0" w:space="0" w:color="auto"/>
      </w:divBdr>
    </w:div>
    <w:div w:id="1978028413">
      <w:bodyDiv w:val="1"/>
      <w:marLeft w:val="0"/>
      <w:marRight w:val="0"/>
      <w:marTop w:val="0"/>
      <w:marBottom w:val="0"/>
      <w:divBdr>
        <w:top w:val="none" w:sz="0" w:space="0" w:color="auto"/>
        <w:left w:val="none" w:sz="0" w:space="0" w:color="auto"/>
        <w:bottom w:val="none" w:sz="0" w:space="0" w:color="auto"/>
        <w:right w:val="none" w:sz="0" w:space="0" w:color="auto"/>
      </w:divBdr>
    </w:div>
    <w:div w:id="198438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4</Pages>
  <Words>1609</Words>
  <Characters>9177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Jahi Chappell</dc:creator>
  <cp:keywords/>
  <dc:description/>
  <cp:lastModifiedBy>Jahi Chappell</cp:lastModifiedBy>
  <cp:revision>7</cp:revision>
  <dcterms:created xsi:type="dcterms:W3CDTF">2016-02-15T22:59:00Z</dcterms:created>
  <dcterms:modified xsi:type="dcterms:W3CDTF">2016-02-16T00:08:00Z</dcterms:modified>
</cp:coreProperties>
</file>