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84" w:rsidRPr="00A26655" w:rsidRDefault="00BF46FC" w:rsidP="00A26655">
      <w:pPr>
        <w:jc w:val="center"/>
        <w:rPr>
          <w:b/>
        </w:rPr>
      </w:pPr>
      <w:r w:rsidRPr="00A26655">
        <w:rPr>
          <w:b/>
        </w:rPr>
        <w:t>ROLE OF SUSTAINABLE FISHERIES AND AQUACULTURE FOR FOOD SECURITY AND NUTRITION</w:t>
      </w:r>
    </w:p>
    <w:p w:rsidR="00BF46FC" w:rsidRPr="00A26655" w:rsidRDefault="00BF46FC" w:rsidP="00A26655">
      <w:pPr>
        <w:jc w:val="center"/>
        <w:rPr>
          <w:b/>
        </w:rPr>
      </w:pPr>
      <w:r w:rsidRPr="00A26655">
        <w:rPr>
          <w:b/>
        </w:rPr>
        <w:t>MAJOR COMMENTS ON HLPE REPORT</w:t>
      </w:r>
    </w:p>
    <w:p w:rsidR="00BF46FC" w:rsidRDefault="00BF46FC" w:rsidP="00A26655">
      <w:pPr>
        <w:spacing w:after="0" w:line="240" w:lineRule="auto"/>
        <w:jc w:val="center"/>
      </w:pPr>
      <w:r>
        <w:t>BY DR. DIMYATI NANGJU</w:t>
      </w:r>
    </w:p>
    <w:p w:rsidR="00BF46FC" w:rsidRDefault="00BF46FC" w:rsidP="00A26655">
      <w:pPr>
        <w:spacing w:after="0" w:line="240" w:lineRule="auto"/>
        <w:jc w:val="center"/>
      </w:pPr>
      <w:r>
        <w:t>Team Leader/Project Management Specialist, SAFVER Project</w:t>
      </w:r>
    </w:p>
    <w:p w:rsidR="00BF46FC" w:rsidRDefault="00BF46FC" w:rsidP="00A26655">
      <w:pPr>
        <w:spacing w:after="0" w:line="240" w:lineRule="auto"/>
        <w:jc w:val="center"/>
      </w:pPr>
      <w:r>
        <w:t>Directorate General of Aquaculture</w:t>
      </w:r>
    </w:p>
    <w:p w:rsidR="00BF46FC" w:rsidRDefault="00BF46FC" w:rsidP="00A26655">
      <w:pPr>
        <w:spacing w:after="0" w:line="240" w:lineRule="auto"/>
        <w:jc w:val="center"/>
      </w:pPr>
      <w:r>
        <w:t>Ministry of Marine Affairs and Fisheries</w:t>
      </w:r>
    </w:p>
    <w:p w:rsidR="00BF46FC" w:rsidRDefault="00BF46FC" w:rsidP="00A26655">
      <w:pPr>
        <w:spacing w:after="0" w:line="240" w:lineRule="auto"/>
        <w:jc w:val="center"/>
      </w:pPr>
      <w:r>
        <w:t>Jakarta, Indonesia</w:t>
      </w:r>
    </w:p>
    <w:p w:rsidR="00BF46FC" w:rsidRDefault="00BF46FC" w:rsidP="00BF46FC">
      <w:pPr>
        <w:spacing w:after="0" w:line="240" w:lineRule="auto"/>
      </w:pPr>
    </w:p>
    <w:p w:rsidR="0076224C" w:rsidRDefault="00BF46FC" w:rsidP="009E5340">
      <w:pPr>
        <w:spacing w:after="0" w:line="240" w:lineRule="auto"/>
        <w:jc w:val="both"/>
      </w:pPr>
      <w:r>
        <w:t>The High Level Panel of Experts (HLPE) has done an excellent job in presenting key issues  related to the role of sustainable fisheries and aquaculture for food security and nutrition. All the identified issues are important and relevant</w:t>
      </w:r>
      <w:r w:rsidR="0076224C">
        <w:t>, and should be studied by the Project Team</w:t>
      </w:r>
      <w:r>
        <w:t>. However, to make it ea</w:t>
      </w:r>
      <w:r w:rsidR="0076224C">
        <w:t>sier for the Project Team to prepare the study and policy recommendation, I would like to make two suggestions:</w:t>
      </w:r>
    </w:p>
    <w:p w:rsidR="0076224C" w:rsidRDefault="0076224C" w:rsidP="009E5340">
      <w:pPr>
        <w:spacing w:after="0" w:line="240" w:lineRule="auto"/>
        <w:jc w:val="both"/>
      </w:pPr>
    </w:p>
    <w:p w:rsidR="0076224C" w:rsidRDefault="0076224C" w:rsidP="009E5340">
      <w:pPr>
        <w:pStyle w:val="ListParagraph"/>
        <w:numPr>
          <w:ilvl w:val="0"/>
          <w:numId w:val="1"/>
        </w:numPr>
        <w:spacing w:after="0" w:line="240" w:lineRule="auto"/>
        <w:jc w:val="both"/>
      </w:pPr>
      <w:r>
        <w:t>It may be useful and desirable</w:t>
      </w:r>
      <w:r w:rsidR="00264B57">
        <w:t xml:space="preserve"> to separate</w:t>
      </w:r>
      <w:r>
        <w:t xml:space="preserve"> issues related to </w:t>
      </w:r>
      <w:r w:rsidR="00264B57">
        <w:t>aquaculture development from</w:t>
      </w:r>
      <w:r>
        <w:t xml:space="preserve"> issues related to fishery development because the two groups of issues, in some cases, can be completely different</w:t>
      </w:r>
      <w:r w:rsidR="00FF468D">
        <w:t xml:space="preserve"> because the former deals with </w:t>
      </w:r>
      <w:r w:rsidR="00BA72C6">
        <w:t>privately owned</w:t>
      </w:r>
      <w:r w:rsidR="00264B57">
        <w:t xml:space="preserve"> resources</w:t>
      </w:r>
      <w:r w:rsidR="00FF468D">
        <w:t xml:space="preserve"> while the latter deals </w:t>
      </w:r>
      <w:r w:rsidR="0071773E">
        <w:t xml:space="preserve">with </w:t>
      </w:r>
      <w:r w:rsidR="00BA72C6">
        <w:t>open resources accessible to most people,</w:t>
      </w:r>
      <w:r w:rsidR="00264B57">
        <w:t xml:space="preserve"> although it is also recoginized that in other cases, fisheries and aquaculture share common issues</w:t>
      </w:r>
      <w:r>
        <w:t>.</w:t>
      </w:r>
    </w:p>
    <w:p w:rsidR="00FF468D" w:rsidRDefault="0076224C" w:rsidP="009E5340">
      <w:pPr>
        <w:pStyle w:val="ListParagraph"/>
        <w:numPr>
          <w:ilvl w:val="0"/>
          <w:numId w:val="1"/>
        </w:numPr>
        <w:spacing w:after="0" w:line="240" w:lineRule="auto"/>
        <w:jc w:val="both"/>
      </w:pPr>
      <w:r>
        <w:t xml:space="preserve">The issues should be ranked in terms of (a) their importance in achieving food security and </w:t>
      </w:r>
      <w:r w:rsidR="0071773E">
        <w:t>nutrition</w:t>
      </w:r>
      <w:r>
        <w:t>, (b) their roles in global, regional and national</w:t>
      </w:r>
      <w:r w:rsidR="00FF468D">
        <w:t xml:space="preserve"> </w:t>
      </w:r>
      <w:r w:rsidR="0071773E">
        <w:t>levels</w:t>
      </w:r>
      <w:r w:rsidR="00FF468D">
        <w:t>, and (c) their importance in relation to aquaculture or fisheries development.</w:t>
      </w:r>
    </w:p>
    <w:p w:rsidR="00FF468D" w:rsidRDefault="00FF468D" w:rsidP="009E5340">
      <w:pPr>
        <w:spacing w:after="0" w:line="240" w:lineRule="auto"/>
        <w:jc w:val="both"/>
      </w:pPr>
    </w:p>
    <w:p w:rsidR="00FF468D" w:rsidRDefault="00FF468D" w:rsidP="009E5340">
      <w:pPr>
        <w:spacing w:after="0" w:line="240" w:lineRule="auto"/>
        <w:jc w:val="both"/>
      </w:pPr>
      <w:r>
        <w:t>Table 1 is an attempt to classify the</w:t>
      </w:r>
      <w:r w:rsidR="00A73F62">
        <w:t xml:space="preserve"> key</w:t>
      </w:r>
      <w:r>
        <w:t xml:space="preserve"> issues</w:t>
      </w:r>
      <w:r w:rsidR="00A73F62">
        <w:t xml:space="preserve"> for the role of fisheries and aquaculture</w:t>
      </w:r>
      <w:r w:rsidR="00A26655">
        <w:t xml:space="preserve"> in food security and nutrition</w:t>
      </w:r>
      <w:r w:rsidR="00A73F62">
        <w:t xml:space="preserve"> </w:t>
      </w:r>
      <w:r>
        <w:t xml:space="preserve"> on </w:t>
      </w:r>
      <w:r w:rsidR="00A73F62">
        <w:t>the</w:t>
      </w:r>
      <w:r>
        <w:t xml:space="preserve"> basis of the above classification.</w:t>
      </w:r>
    </w:p>
    <w:p w:rsidR="00FF468D" w:rsidRDefault="00FF468D" w:rsidP="00FF468D">
      <w:pPr>
        <w:spacing w:after="0" w:line="240" w:lineRule="auto"/>
      </w:pPr>
    </w:p>
    <w:p w:rsidR="00FF468D" w:rsidRPr="00A73F62" w:rsidRDefault="00FF468D" w:rsidP="00A73F62">
      <w:pPr>
        <w:spacing w:after="0" w:line="240" w:lineRule="auto"/>
        <w:jc w:val="center"/>
        <w:rPr>
          <w:b/>
        </w:rPr>
      </w:pPr>
      <w:r w:rsidRPr="00A73F62">
        <w:rPr>
          <w:b/>
        </w:rPr>
        <w:t>Table 1. Classification of the</w:t>
      </w:r>
      <w:r w:rsidR="00A73F62">
        <w:rPr>
          <w:b/>
        </w:rPr>
        <w:t xml:space="preserve"> key issues for the role of</w:t>
      </w:r>
      <w:r w:rsidRPr="00A73F62">
        <w:rPr>
          <w:b/>
        </w:rPr>
        <w:t xml:space="preserve"> Fisheries and Aquaculture for food security and nutrition</w:t>
      </w:r>
    </w:p>
    <w:p w:rsidR="00FF468D" w:rsidRDefault="00FF468D" w:rsidP="00FF468D">
      <w:pPr>
        <w:spacing w:after="0" w:line="240" w:lineRule="auto"/>
      </w:pPr>
    </w:p>
    <w:p w:rsidR="00FF468D" w:rsidRDefault="00FF468D" w:rsidP="00FF468D">
      <w:pPr>
        <w:spacing w:after="0" w:line="240" w:lineRule="auto"/>
      </w:pPr>
    </w:p>
    <w:tbl>
      <w:tblPr>
        <w:tblStyle w:val="TableGrid"/>
        <w:tblW w:w="0" w:type="auto"/>
        <w:tblLook w:val="04A0"/>
      </w:tblPr>
      <w:tblGrid>
        <w:gridCol w:w="3936"/>
        <w:gridCol w:w="1842"/>
        <w:gridCol w:w="1843"/>
        <w:gridCol w:w="1621"/>
      </w:tblGrid>
      <w:tr w:rsidR="00FF468D" w:rsidRPr="00C32FE5" w:rsidTr="00FF468D">
        <w:tc>
          <w:tcPr>
            <w:tcW w:w="3936" w:type="dxa"/>
          </w:tcPr>
          <w:p w:rsidR="00FF468D" w:rsidRPr="00C32FE5" w:rsidRDefault="00BA72C6" w:rsidP="00C32FE5">
            <w:pPr>
              <w:jc w:val="center"/>
              <w:rPr>
                <w:rFonts w:ascii="Arial Narrow" w:hAnsi="Arial Narrow"/>
                <w:b/>
                <w:sz w:val="20"/>
                <w:szCs w:val="20"/>
              </w:rPr>
            </w:pPr>
            <w:r>
              <w:rPr>
                <w:rFonts w:ascii="Arial Narrow" w:hAnsi="Arial Narrow"/>
                <w:b/>
                <w:sz w:val="20"/>
                <w:szCs w:val="20"/>
              </w:rPr>
              <w:t>Key I</w:t>
            </w:r>
            <w:r w:rsidR="00FF468D" w:rsidRPr="00C32FE5">
              <w:rPr>
                <w:rFonts w:ascii="Arial Narrow" w:hAnsi="Arial Narrow"/>
                <w:b/>
                <w:sz w:val="20"/>
                <w:szCs w:val="20"/>
              </w:rPr>
              <w:t>ssues</w:t>
            </w:r>
          </w:p>
        </w:tc>
        <w:tc>
          <w:tcPr>
            <w:tcW w:w="1842" w:type="dxa"/>
          </w:tcPr>
          <w:p w:rsidR="00FF468D" w:rsidRDefault="00FF468D" w:rsidP="00C32FE5">
            <w:pPr>
              <w:jc w:val="center"/>
              <w:rPr>
                <w:rFonts w:ascii="Arial Narrow" w:hAnsi="Arial Narrow"/>
                <w:b/>
                <w:sz w:val="20"/>
                <w:szCs w:val="20"/>
              </w:rPr>
            </w:pPr>
            <w:r w:rsidRPr="00C32FE5">
              <w:rPr>
                <w:rFonts w:ascii="Arial Narrow" w:hAnsi="Arial Narrow"/>
                <w:b/>
                <w:sz w:val="20"/>
                <w:szCs w:val="20"/>
              </w:rPr>
              <w:t>Importance to Food Security and Nutrition</w:t>
            </w:r>
          </w:p>
          <w:p w:rsidR="00264B57" w:rsidRDefault="00264B57" w:rsidP="00C32FE5">
            <w:pPr>
              <w:jc w:val="center"/>
              <w:rPr>
                <w:rFonts w:ascii="Arial Narrow" w:hAnsi="Arial Narrow"/>
                <w:b/>
                <w:sz w:val="20"/>
                <w:szCs w:val="20"/>
              </w:rPr>
            </w:pPr>
            <w:r>
              <w:rPr>
                <w:rFonts w:ascii="Arial Narrow" w:hAnsi="Arial Narrow"/>
                <w:b/>
                <w:sz w:val="20"/>
                <w:szCs w:val="20"/>
              </w:rPr>
              <w:t xml:space="preserve">1= very low, </w:t>
            </w:r>
          </w:p>
          <w:p w:rsidR="00264B57" w:rsidRPr="00C32FE5" w:rsidRDefault="00264B57" w:rsidP="00C32FE5">
            <w:pPr>
              <w:jc w:val="center"/>
              <w:rPr>
                <w:rFonts w:ascii="Arial Narrow" w:hAnsi="Arial Narrow"/>
                <w:b/>
                <w:sz w:val="20"/>
                <w:szCs w:val="20"/>
              </w:rPr>
            </w:pPr>
            <w:r>
              <w:rPr>
                <w:rFonts w:ascii="Arial Narrow" w:hAnsi="Arial Narrow"/>
                <w:b/>
                <w:sz w:val="20"/>
                <w:szCs w:val="20"/>
              </w:rPr>
              <w:t>10= very high</w:t>
            </w:r>
          </w:p>
        </w:tc>
        <w:tc>
          <w:tcPr>
            <w:tcW w:w="1843" w:type="dxa"/>
          </w:tcPr>
          <w:p w:rsidR="00FF468D" w:rsidRPr="00C32FE5" w:rsidRDefault="0071773E" w:rsidP="00A73F62">
            <w:pPr>
              <w:jc w:val="center"/>
              <w:rPr>
                <w:rFonts w:ascii="Arial Narrow" w:hAnsi="Arial Narrow"/>
                <w:b/>
                <w:sz w:val="20"/>
                <w:szCs w:val="20"/>
              </w:rPr>
            </w:pPr>
            <w:r>
              <w:rPr>
                <w:rFonts w:ascii="Arial Narrow" w:hAnsi="Arial Narrow"/>
                <w:b/>
                <w:sz w:val="20"/>
                <w:szCs w:val="20"/>
              </w:rPr>
              <w:t>Roles in Global, Regional and N</w:t>
            </w:r>
            <w:r w:rsidR="00FF468D" w:rsidRPr="00C32FE5">
              <w:rPr>
                <w:rFonts w:ascii="Arial Narrow" w:hAnsi="Arial Narrow"/>
                <w:b/>
                <w:sz w:val="20"/>
                <w:szCs w:val="20"/>
              </w:rPr>
              <w:t xml:space="preserve">ational </w:t>
            </w:r>
            <w:r>
              <w:rPr>
                <w:rFonts w:ascii="Arial Narrow" w:hAnsi="Arial Narrow"/>
                <w:b/>
                <w:sz w:val="20"/>
                <w:szCs w:val="20"/>
              </w:rPr>
              <w:t>levels</w:t>
            </w:r>
            <w:r w:rsidR="00A73F62">
              <w:rPr>
                <w:rFonts w:ascii="Arial Narrow" w:hAnsi="Arial Narrow"/>
                <w:b/>
                <w:sz w:val="20"/>
                <w:szCs w:val="20"/>
              </w:rPr>
              <w:t xml:space="preserve"> </w:t>
            </w:r>
          </w:p>
        </w:tc>
        <w:tc>
          <w:tcPr>
            <w:tcW w:w="1621" w:type="dxa"/>
          </w:tcPr>
          <w:p w:rsidR="00FF468D" w:rsidRPr="00C32FE5" w:rsidRDefault="0071773E" w:rsidP="00C32FE5">
            <w:pPr>
              <w:jc w:val="center"/>
              <w:rPr>
                <w:rFonts w:ascii="Arial Narrow" w:hAnsi="Arial Narrow"/>
                <w:b/>
                <w:sz w:val="20"/>
                <w:szCs w:val="20"/>
              </w:rPr>
            </w:pPr>
            <w:r>
              <w:rPr>
                <w:rFonts w:ascii="Arial Narrow" w:hAnsi="Arial Narrow"/>
                <w:b/>
                <w:sz w:val="20"/>
                <w:szCs w:val="20"/>
              </w:rPr>
              <w:t>Importance in Aquaculture and F</w:t>
            </w:r>
            <w:r w:rsidR="00FF468D" w:rsidRPr="00C32FE5">
              <w:rPr>
                <w:rFonts w:ascii="Arial Narrow" w:hAnsi="Arial Narrow"/>
                <w:b/>
                <w:sz w:val="20"/>
                <w:szCs w:val="20"/>
              </w:rPr>
              <w:t>isheries development</w:t>
            </w:r>
          </w:p>
        </w:tc>
      </w:tr>
      <w:tr w:rsidR="00FF468D" w:rsidTr="00FF468D">
        <w:tc>
          <w:tcPr>
            <w:tcW w:w="3936" w:type="dxa"/>
          </w:tcPr>
          <w:p w:rsidR="00FF468D" w:rsidRPr="00FF468D" w:rsidRDefault="00FF468D" w:rsidP="00FF468D">
            <w:pPr>
              <w:rPr>
                <w:rFonts w:ascii="Arial Narrow" w:hAnsi="Arial Narrow"/>
                <w:sz w:val="20"/>
                <w:szCs w:val="20"/>
              </w:rPr>
            </w:pPr>
            <w:r>
              <w:rPr>
                <w:rFonts w:ascii="Arial Narrow" w:hAnsi="Arial Narrow"/>
                <w:sz w:val="20"/>
                <w:szCs w:val="20"/>
              </w:rPr>
              <w:t>1.FAO “Code of Conduct” for responsible fisheries and aquaculture</w:t>
            </w:r>
          </w:p>
        </w:tc>
        <w:tc>
          <w:tcPr>
            <w:tcW w:w="1842" w:type="dxa"/>
          </w:tcPr>
          <w:p w:rsidR="00FF468D" w:rsidRPr="00FF468D" w:rsidRDefault="006B6ABD" w:rsidP="006B6ABD">
            <w:pPr>
              <w:jc w:val="center"/>
              <w:rPr>
                <w:rFonts w:ascii="Arial Narrow" w:hAnsi="Arial Narrow"/>
                <w:sz w:val="20"/>
                <w:szCs w:val="20"/>
              </w:rPr>
            </w:pPr>
            <w:r>
              <w:rPr>
                <w:rFonts w:ascii="Arial Narrow" w:hAnsi="Arial Narrow"/>
                <w:sz w:val="20"/>
                <w:szCs w:val="20"/>
              </w:rPr>
              <w:t>9</w:t>
            </w:r>
          </w:p>
        </w:tc>
        <w:tc>
          <w:tcPr>
            <w:tcW w:w="1843" w:type="dxa"/>
          </w:tcPr>
          <w:p w:rsidR="00FF468D" w:rsidRPr="00FF468D" w:rsidRDefault="00C32FE5" w:rsidP="00FF468D">
            <w:pPr>
              <w:rPr>
                <w:rFonts w:ascii="Arial Narrow" w:hAnsi="Arial Narrow"/>
                <w:sz w:val="20"/>
                <w:szCs w:val="20"/>
              </w:rPr>
            </w:pPr>
            <w:r>
              <w:rPr>
                <w:rFonts w:ascii="Arial Narrow" w:hAnsi="Arial Narrow"/>
                <w:sz w:val="20"/>
                <w:szCs w:val="20"/>
              </w:rPr>
              <w:t>National</w:t>
            </w:r>
            <w:r w:rsidR="00A73F62">
              <w:rPr>
                <w:rFonts w:ascii="Arial Narrow" w:hAnsi="Arial Narrow"/>
                <w:sz w:val="20"/>
                <w:szCs w:val="20"/>
              </w:rPr>
              <w:t>, regional and global</w:t>
            </w:r>
          </w:p>
        </w:tc>
        <w:tc>
          <w:tcPr>
            <w:tcW w:w="1621" w:type="dxa"/>
          </w:tcPr>
          <w:p w:rsidR="00FF468D" w:rsidRPr="00FF468D" w:rsidRDefault="00C32FE5" w:rsidP="00FF468D">
            <w:pPr>
              <w:rPr>
                <w:rFonts w:ascii="Arial Narrow" w:hAnsi="Arial Narrow"/>
                <w:sz w:val="20"/>
                <w:szCs w:val="20"/>
              </w:rPr>
            </w:pPr>
            <w:r>
              <w:rPr>
                <w:rFonts w:ascii="Arial Narrow" w:hAnsi="Arial Narrow"/>
                <w:sz w:val="20"/>
                <w:szCs w:val="20"/>
              </w:rPr>
              <w:t>Fisheries and aquaculture</w:t>
            </w:r>
          </w:p>
        </w:tc>
      </w:tr>
      <w:tr w:rsidR="00FF468D" w:rsidTr="00FF468D">
        <w:tc>
          <w:tcPr>
            <w:tcW w:w="3936" w:type="dxa"/>
          </w:tcPr>
          <w:p w:rsidR="00FF468D" w:rsidRPr="00FF468D" w:rsidRDefault="00FF468D" w:rsidP="00FF468D">
            <w:pPr>
              <w:rPr>
                <w:rFonts w:ascii="Arial Narrow" w:hAnsi="Arial Narrow"/>
                <w:sz w:val="20"/>
                <w:szCs w:val="20"/>
              </w:rPr>
            </w:pPr>
            <w:r>
              <w:rPr>
                <w:rFonts w:ascii="Arial Narrow" w:hAnsi="Arial Narrow"/>
                <w:sz w:val="20"/>
                <w:szCs w:val="20"/>
              </w:rPr>
              <w:t>2.Integrity of the resource base</w:t>
            </w:r>
          </w:p>
        </w:tc>
        <w:tc>
          <w:tcPr>
            <w:tcW w:w="1842" w:type="dxa"/>
          </w:tcPr>
          <w:p w:rsidR="00FF468D" w:rsidRPr="00FF468D" w:rsidRDefault="006B6ABD" w:rsidP="006B6ABD">
            <w:pPr>
              <w:jc w:val="center"/>
              <w:rPr>
                <w:rFonts w:ascii="Arial Narrow" w:hAnsi="Arial Narrow"/>
                <w:sz w:val="20"/>
                <w:szCs w:val="20"/>
              </w:rPr>
            </w:pPr>
            <w:r>
              <w:rPr>
                <w:rFonts w:ascii="Arial Narrow" w:hAnsi="Arial Narrow"/>
                <w:sz w:val="20"/>
                <w:szCs w:val="20"/>
              </w:rPr>
              <w:t>8</w:t>
            </w:r>
          </w:p>
        </w:tc>
        <w:tc>
          <w:tcPr>
            <w:tcW w:w="1843" w:type="dxa"/>
          </w:tcPr>
          <w:p w:rsidR="00FF468D" w:rsidRPr="00FF468D" w:rsidRDefault="00C32FE5" w:rsidP="00FF468D">
            <w:pPr>
              <w:rPr>
                <w:rFonts w:ascii="Arial Narrow" w:hAnsi="Arial Narrow"/>
                <w:sz w:val="20"/>
                <w:szCs w:val="20"/>
              </w:rPr>
            </w:pPr>
            <w:r>
              <w:rPr>
                <w:rFonts w:ascii="Arial Narrow" w:hAnsi="Arial Narrow"/>
                <w:sz w:val="20"/>
                <w:szCs w:val="20"/>
              </w:rPr>
              <w:t>National and regional</w:t>
            </w:r>
          </w:p>
        </w:tc>
        <w:tc>
          <w:tcPr>
            <w:tcW w:w="1621" w:type="dxa"/>
          </w:tcPr>
          <w:p w:rsidR="00FF468D" w:rsidRPr="00FF468D" w:rsidRDefault="00C32FE5" w:rsidP="00FF468D">
            <w:pPr>
              <w:rPr>
                <w:rFonts w:ascii="Arial Narrow" w:hAnsi="Arial Narrow"/>
                <w:sz w:val="20"/>
                <w:szCs w:val="20"/>
              </w:rPr>
            </w:pPr>
            <w:r>
              <w:rPr>
                <w:rFonts w:ascii="Arial Narrow" w:hAnsi="Arial Narrow"/>
                <w:sz w:val="20"/>
                <w:szCs w:val="20"/>
              </w:rPr>
              <w:t>Fisheries and aquauclture</w:t>
            </w:r>
          </w:p>
        </w:tc>
      </w:tr>
      <w:tr w:rsidR="00FF468D" w:rsidTr="00FF468D">
        <w:tc>
          <w:tcPr>
            <w:tcW w:w="3936" w:type="dxa"/>
          </w:tcPr>
          <w:p w:rsidR="00FF468D" w:rsidRPr="00FF468D" w:rsidRDefault="00FF468D" w:rsidP="00FF468D">
            <w:pPr>
              <w:rPr>
                <w:rFonts w:ascii="Arial Narrow" w:hAnsi="Arial Narrow"/>
                <w:sz w:val="20"/>
                <w:szCs w:val="20"/>
              </w:rPr>
            </w:pPr>
            <w:r>
              <w:rPr>
                <w:rFonts w:ascii="Arial Narrow" w:hAnsi="Arial Narrow"/>
                <w:sz w:val="20"/>
                <w:szCs w:val="20"/>
              </w:rPr>
              <w:t>3.Key socioeconomic issues affecting sustainability and development of fisheries and aquaculture</w:t>
            </w:r>
          </w:p>
        </w:tc>
        <w:tc>
          <w:tcPr>
            <w:tcW w:w="1842" w:type="dxa"/>
          </w:tcPr>
          <w:p w:rsidR="00FF468D" w:rsidRPr="00FF468D" w:rsidRDefault="00BA72C6" w:rsidP="006B6ABD">
            <w:pPr>
              <w:jc w:val="center"/>
              <w:rPr>
                <w:rFonts w:ascii="Arial Narrow" w:hAnsi="Arial Narrow"/>
                <w:sz w:val="20"/>
                <w:szCs w:val="20"/>
              </w:rPr>
            </w:pPr>
            <w:r>
              <w:rPr>
                <w:rFonts w:ascii="Arial Narrow" w:hAnsi="Arial Narrow"/>
                <w:sz w:val="20"/>
                <w:szCs w:val="20"/>
              </w:rPr>
              <w:t>10</w:t>
            </w:r>
          </w:p>
        </w:tc>
        <w:tc>
          <w:tcPr>
            <w:tcW w:w="1843" w:type="dxa"/>
          </w:tcPr>
          <w:p w:rsidR="00FF468D" w:rsidRPr="00FF468D" w:rsidRDefault="00C32FE5" w:rsidP="00FF468D">
            <w:pPr>
              <w:rPr>
                <w:rFonts w:ascii="Arial Narrow" w:hAnsi="Arial Narrow"/>
                <w:sz w:val="20"/>
                <w:szCs w:val="20"/>
              </w:rPr>
            </w:pPr>
            <w:r>
              <w:rPr>
                <w:rFonts w:ascii="Arial Narrow" w:hAnsi="Arial Narrow"/>
                <w:sz w:val="20"/>
                <w:szCs w:val="20"/>
              </w:rPr>
              <w:t>National</w:t>
            </w:r>
          </w:p>
        </w:tc>
        <w:tc>
          <w:tcPr>
            <w:tcW w:w="1621" w:type="dxa"/>
          </w:tcPr>
          <w:p w:rsidR="00FF468D" w:rsidRPr="00FF468D" w:rsidRDefault="00C32FE5" w:rsidP="00FF468D">
            <w:pPr>
              <w:rPr>
                <w:rFonts w:ascii="Arial Narrow" w:hAnsi="Arial Narrow"/>
                <w:sz w:val="20"/>
                <w:szCs w:val="20"/>
              </w:rPr>
            </w:pPr>
            <w:r>
              <w:rPr>
                <w:rFonts w:ascii="Arial Narrow" w:hAnsi="Arial Narrow"/>
                <w:sz w:val="20"/>
                <w:szCs w:val="20"/>
              </w:rPr>
              <w:t>Fisheries and aquaculture</w:t>
            </w:r>
          </w:p>
        </w:tc>
      </w:tr>
      <w:tr w:rsidR="00FF468D" w:rsidTr="00FF468D">
        <w:tc>
          <w:tcPr>
            <w:tcW w:w="3936" w:type="dxa"/>
          </w:tcPr>
          <w:p w:rsidR="00FF468D" w:rsidRPr="00FF468D" w:rsidRDefault="00FF468D" w:rsidP="00FF468D">
            <w:pPr>
              <w:rPr>
                <w:rFonts w:ascii="Arial Narrow" w:hAnsi="Arial Narrow"/>
                <w:sz w:val="20"/>
                <w:szCs w:val="20"/>
              </w:rPr>
            </w:pPr>
            <w:r>
              <w:rPr>
                <w:rFonts w:ascii="Arial Narrow" w:hAnsi="Arial Narrow"/>
                <w:sz w:val="20"/>
                <w:szCs w:val="20"/>
              </w:rPr>
              <w:t xml:space="preserve">4.Securing small-scale fisheries/artisanal fisheries in their fundamental rights </w:t>
            </w:r>
          </w:p>
        </w:tc>
        <w:tc>
          <w:tcPr>
            <w:tcW w:w="1842" w:type="dxa"/>
          </w:tcPr>
          <w:p w:rsidR="00FF468D" w:rsidRPr="00FF468D" w:rsidRDefault="00BA72C6" w:rsidP="006B6ABD">
            <w:pPr>
              <w:jc w:val="center"/>
              <w:rPr>
                <w:rFonts w:ascii="Arial Narrow" w:hAnsi="Arial Narrow"/>
                <w:sz w:val="20"/>
                <w:szCs w:val="20"/>
              </w:rPr>
            </w:pPr>
            <w:r>
              <w:rPr>
                <w:rFonts w:ascii="Arial Narrow" w:hAnsi="Arial Narrow"/>
                <w:sz w:val="20"/>
                <w:szCs w:val="20"/>
              </w:rPr>
              <w:t>7</w:t>
            </w:r>
          </w:p>
        </w:tc>
        <w:tc>
          <w:tcPr>
            <w:tcW w:w="1843" w:type="dxa"/>
          </w:tcPr>
          <w:p w:rsidR="00FF468D" w:rsidRPr="00FF468D" w:rsidRDefault="00C32FE5" w:rsidP="00FF468D">
            <w:pPr>
              <w:rPr>
                <w:rFonts w:ascii="Arial Narrow" w:hAnsi="Arial Narrow"/>
                <w:sz w:val="20"/>
                <w:szCs w:val="20"/>
              </w:rPr>
            </w:pPr>
            <w:r>
              <w:rPr>
                <w:rFonts w:ascii="Arial Narrow" w:hAnsi="Arial Narrow"/>
                <w:sz w:val="20"/>
                <w:szCs w:val="20"/>
              </w:rPr>
              <w:t>National</w:t>
            </w:r>
            <w:r w:rsidR="00BA72C6">
              <w:rPr>
                <w:rFonts w:ascii="Arial Narrow" w:hAnsi="Arial Narrow"/>
                <w:sz w:val="20"/>
                <w:szCs w:val="20"/>
              </w:rPr>
              <w:t xml:space="preserve"> and regional</w:t>
            </w:r>
          </w:p>
        </w:tc>
        <w:tc>
          <w:tcPr>
            <w:tcW w:w="1621" w:type="dxa"/>
          </w:tcPr>
          <w:p w:rsidR="00FF468D" w:rsidRPr="00FF468D" w:rsidRDefault="00C32FE5" w:rsidP="00FF468D">
            <w:pPr>
              <w:rPr>
                <w:rFonts w:ascii="Arial Narrow" w:hAnsi="Arial Narrow"/>
                <w:sz w:val="20"/>
                <w:szCs w:val="20"/>
              </w:rPr>
            </w:pPr>
            <w:r>
              <w:rPr>
                <w:rFonts w:ascii="Arial Narrow" w:hAnsi="Arial Narrow"/>
                <w:sz w:val="20"/>
                <w:szCs w:val="20"/>
              </w:rPr>
              <w:t>Fisheries</w:t>
            </w:r>
          </w:p>
        </w:tc>
      </w:tr>
      <w:tr w:rsidR="00FF468D" w:rsidTr="00FF468D">
        <w:tc>
          <w:tcPr>
            <w:tcW w:w="3936" w:type="dxa"/>
          </w:tcPr>
          <w:p w:rsidR="00FF468D" w:rsidRPr="00FF468D" w:rsidRDefault="00FF468D" w:rsidP="00FF468D">
            <w:pPr>
              <w:rPr>
                <w:rFonts w:ascii="Arial Narrow" w:hAnsi="Arial Narrow"/>
                <w:sz w:val="20"/>
                <w:szCs w:val="20"/>
              </w:rPr>
            </w:pPr>
            <w:r>
              <w:rPr>
                <w:rFonts w:ascii="Arial Narrow" w:hAnsi="Arial Narrow"/>
                <w:sz w:val="20"/>
                <w:szCs w:val="20"/>
              </w:rPr>
              <w:t>5.Gender specific needs and rights of women</w:t>
            </w:r>
          </w:p>
        </w:tc>
        <w:tc>
          <w:tcPr>
            <w:tcW w:w="1842" w:type="dxa"/>
          </w:tcPr>
          <w:p w:rsidR="00FF468D" w:rsidRPr="00FF468D" w:rsidRDefault="0071773E" w:rsidP="006B6ABD">
            <w:pPr>
              <w:jc w:val="center"/>
              <w:rPr>
                <w:rFonts w:ascii="Arial Narrow" w:hAnsi="Arial Narrow"/>
                <w:sz w:val="20"/>
                <w:szCs w:val="20"/>
              </w:rPr>
            </w:pPr>
            <w:r>
              <w:rPr>
                <w:rFonts w:ascii="Arial Narrow" w:hAnsi="Arial Narrow"/>
                <w:sz w:val="20"/>
                <w:szCs w:val="20"/>
              </w:rPr>
              <w:t>8</w:t>
            </w:r>
          </w:p>
        </w:tc>
        <w:tc>
          <w:tcPr>
            <w:tcW w:w="1843" w:type="dxa"/>
          </w:tcPr>
          <w:p w:rsidR="00FF468D" w:rsidRPr="00FF468D" w:rsidRDefault="00C32FE5" w:rsidP="00FF468D">
            <w:pPr>
              <w:rPr>
                <w:rFonts w:ascii="Arial Narrow" w:hAnsi="Arial Narrow"/>
                <w:sz w:val="20"/>
                <w:szCs w:val="20"/>
              </w:rPr>
            </w:pPr>
            <w:r>
              <w:rPr>
                <w:rFonts w:ascii="Arial Narrow" w:hAnsi="Arial Narrow"/>
                <w:sz w:val="20"/>
                <w:szCs w:val="20"/>
              </w:rPr>
              <w:t>National</w:t>
            </w:r>
          </w:p>
        </w:tc>
        <w:tc>
          <w:tcPr>
            <w:tcW w:w="1621" w:type="dxa"/>
          </w:tcPr>
          <w:p w:rsidR="00FF468D" w:rsidRPr="00FF468D" w:rsidRDefault="00C32FE5" w:rsidP="00FF468D">
            <w:pPr>
              <w:rPr>
                <w:rFonts w:ascii="Arial Narrow" w:hAnsi="Arial Narrow"/>
                <w:sz w:val="20"/>
                <w:szCs w:val="20"/>
              </w:rPr>
            </w:pPr>
            <w:r>
              <w:rPr>
                <w:rFonts w:ascii="Arial Narrow" w:hAnsi="Arial Narrow"/>
                <w:sz w:val="20"/>
                <w:szCs w:val="20"/>
              </w:rPr>
              <w:t>Fisheries and aquaculture</w:t>
            </w:r>
          </w:p>
        </w:tc>
      </w:tr>
      <w:tr w:rsidR="00FF468D" w:rsidTr="00FF468D">
        <w:tc>
          <w:tcPr>
            <w:tcW w:w="3936" w:type="dxa"/>
          </w:tcPr>
          <w:p w:rsidR="00FF468D" w:rsidRPr="00FF468D" w:rsidRDefault="00FF468D" w:rsidP="00FF468D">
            <w:pPr>
              <w:rPr>
                <w:rFonts w:ascii="Arial Narrow" w:hAnsi="Arial Narrow"/>
                <w:sz w:val="20"/>
                <w:szCs w:val="20"/>
              </w:rPr>
            </w:pPr>
            <w:r>
              <w:rPr>
                <w:rFonts w:ascii="Arial Narrow" w:hAnsi="Arial Narrow"/>
                <w:sz w:val="20"/>
                <w:szCs w:val="20"/>
              </w:rPr>
              <w:t>6.Improvements in institutional capacities for the success of management and governance of sustainable fisheries and aquaculture</w:t>
            </w:r>
          </w:p>
        </w:tc>
        <w:tc>
          <w:tcPr>
            <w:tcW w:w="1842" w:type="dxa"/>
          </w:tcPr>
          <w:p w:rsidR="00FF468D" w:rsidRPr="00FF468D" w:rsidRDefault="006B6ABD" w:rsidP="006B6ABD">
            <w:pPr>
              <w:jc w:val="center"/>
              <w:rPr>
                <w:rFonts w:ascii="Arial Narrow" w:hAnsi="Arial Narrow"/>
                <w:sz w:val="20"/>
                <w:szCs w:val="20"/>
              </w:rPr>
            </w:pPr>
            <w:r>
              <w:rPr>
                <w:rFonts w:ascii="Arial Narrow" w:hAnsi="Arial Narrow"/>
                <w:sz w:val="20"/>
                <w:szCs w:val="20"/>
              </w:rPr>
              <w:t>8</w:t>
            </w:r>
          </w:p>
        </w:tc>
        <w:tc>
          <w:tcPr>
            <w:tcW w:w="1843" w:type="dxa"/>
          </w:tcPr>
          <w:p w:rsidR="00FF468D" w:rsidRPr="00FF468D" w:rsidRDefault="00C32FE5" w:rsidP="00FF468D">
            <w:pPr>
              <w:rPr>
                <w:rFonts w:ascii="Arial Narrow" w:hAnsi="Arial Narrow"/>
                <w:sz w:val="20"/>
                <w:szCs w:val="20"/>
              </w:rPr>
            </w:pPr>
            <w:r>
              <w:rPr>
                <w:rFonts w:ascii="Arial Narrow" w:hAnsi="Arial Narrow"/>
                <w:sz w:val="20"/>
                <w:szCs w:val="20"/>
              </w:rPr>
              <w:t>National</w:t>
            </w:r>
          </w:p>
        </w:tc>
        <w:tc>
          <w:tcPr>
            <w:tcW w:w="1621" w:type="dxa"/>
          </w:tcPr>
          <w:p w:rsidR="00FF468D" w:rsidRPr="00FF468D" w:rsidRDefault="00C32FE5" w:rsidP="00FF468D">
            <w:pPr>
              <w:rPr>
                <w:rFonts w:ascii="Arial Narrow" w:hAnsi="Arial Narrow"/>
                <w:sz w:val="20"/>
                <w:szCs w:val="20"/>
              </w:rPr>
            </w:pPr>
            <w:r>
              <w:rPr>
                <w:rFonts w:ascii="Arial Narrow" w:hAnsi="Arial Narrow"/>
                <w:sz w:val="20"/>
                <w:szCs w:val="20"/>
              </w:rPr>
              <w:t>Fisheries and aquaculture</w:t>
            </w:r>
          </w:p>
        </w:tc>
      </w:tr>
      <w:tr w:rsidR="00FF468D" w:rsidTr="00FF468D">
        <w:tc>
          <w:tcPr>
            <w:tcW w:w="3936" w:type="dxa"/>
          </w:tcPr>
          <w:p w:rsidR="00FF468D" w:rsidRPr="00FF468D" w:rsidRDefault="00C32FE5" w:rsidP="00FF468D">
            <w:pPr>
              <w:rPr>
                <w:rFonts w:ascii="Arial Narrow" w:hAnsi="Arial Narrow"/>
                <w:sz w:val="20"/>
                <w:szCs w:val="20"/>
              </w:rPr>
            </w:pPr>
            <w:r>
              <w:rPr>
                <w:rFonts w:ascii="Arial Narrow" w:hAnsi="Arial Narrow"/>
                <w:sz w:val="20"/>
                <w:szCs w:val="20"/>
              </w:rPr>
              <w:t>7. Promotion of sustainable aquaculture</w:t>
            </w:r>
          </w:p>
        </w:tc>
        <w:tc>
          <w:tcPr>
            <w:tcW w:w="1842" w:type="dxa"/>
          </w:tcPr>
          <w:p w:rsidR="00FF468D" w:rsidRPr="00FF468D" w:rsidRDefault="006B6ABD" w:rsidP="006B6ABD">
            <w:pPr>
              <w:jc w:val="center"/>
              <w:rPr>
                <w:rFonts w:ascii="Arial Narrow" w:hAnsi="Arial Narrow"/>
                <w:sz w:val="20"/>
                <w:szCs w:val="20"/>
              </w:rPr>
            </w:pPr>
            <w:r>
              <w:rPr>
                <w:rFonts w:ascii="Arial Narrow" w:hAnsi="Arial Narrow"/>
                <w:sz w:val="20"/>
                <w:szCs w:val="20"/>
              </w:rPr>
              <w:t>9</w:t>
            </w:r>
          </w:p>
        </w:tc>
        <w:tc>
          <w:tcPr>
            <w:tcW w:w="1843" w:type="dxa"/>
          </w:tcPr>
          <w:p w:rsidR="00FF468D" w:rsidRPr="00FF468D" w:rsidRDefault="00A73F62" w:rsidP="00FF468D">
            <w:pPr>
              <w:rPr>
                <w:rFonts w:ascii="Arial Narrow" w:hAnsi="Arial Narrow"/>
                <w:sz w:val="20"/>
                <w:szCs w:val="20"/>
              </w:rPr>
            </w:pPr>
            <w:r>
              <w:rPr>
                <w:rFonts w:ascii="Arial Narrow" w:hAnsi="Arial Narrow"/>
                <w:sz w:val="20"/>
                <w:szCs w:val="20"/>
              </w:rPr>
              <w:t>National, regional and global</w:t>
            </w:r>
          </w:p>
        </w:tc>
        <w:tc>
          <w:tcPr>
            <w:tcW w:w="1621" w:type="dxa"/>
          </w:tcPr>
          <w:p w:rsidR="00FF468D" w:rsidRPr="00FF468D" w:rsidRDefault="00C32FE5" w:rsidP="00FF468D">
            <w:pPr>
              <w:rPr>
                <w:rFonts w:ascii="Arial Narrow" w:hAnsi="Arial Narrow"/>
                <w:sz w:val="20"/>
                <w:szCs w:val="20"/>
              </w:rPr>
            </w:pPr>
            <w:r>
              <w:rPr>
                <w:rFonts w:ascii="Arial Narrow" w:hAnsi="Arial Narrow"/>
                <w:sz w:val="20"/>
                <w:szCs w:val="20"/>
              </w:rPr>
              <w:t>Aquaculture</w:t>
            </w:r>
          </w:p>
        </w:tc>
      </w:tr>
      <w:tr w:rsidR="00C32FE5" w:rsidTr="00FF468D">
        <w:tc>
          <w:tcPr>
            <w:tcW w:w="3936" w:type="dxa"/>
          </w:tcPr>
          <w:p w:rsidR="00C32FE5" w:rsidRDefault="00C32FE5" w:rsidP="00FF468D">
            <w:pPr>
              <w:rPr>
                <w:rFonts w:ascii="Arial Narrow" w:hAnsi="Arial Narrow"/>
                <w:sz w:val="20"/>
                <w:szCs w:val="20"/>
              </w:rPr>
            </w:pPr>
            <w:r>
              <w:rPr>
                <w:rFonts w:ascii="Arial Narrow" w:hAnsi="Arial Narrow"/>
                <w:sz w:val="20"/>
                <w:szCs w:val="20"/>
              </w:rPr>
              <w:t>8. Policies for fair and improved trading</w:t>
            </w:r>
          </w:p>
        </w:tc>
        <w:tc>
          <w:tcPr>
            <w:tcW w:w="1842" w:type="dxa"/>
          </w:tcPr>
          <w:p w:rsidR="00C32FE5" w:rsidRPr="00FF468D" w:rsidRDefault="006B6ABD" w:rsidP="006B6ABD">
            <w:pPr>
              <w:jc w:val="center"/>
              <w:rPr>
                <w:rFonts w:ascii="Arial Narrow" w:hAnsi="Arial Narrow"/>
                <w:sz w:val="20"/>
                <w:szCs w:val="20"/>
              </w:rPr>
            </w:pPr>
            <w:r>
              <w:rPr>
                <w:rFonts w:ascii="Arial Narrow" w:hAnsi="Arial Narrow"/>
                <w:sz w:val="20"/>
                <w:szCs w:val="20"/>
              </w:rPr>
              <w:t>8</w:t>
            </w:r>
          </w:p>
        </w:tc>
        <w:tc>
          <w:tcPr>
            <w:tcW w:w="1843" w:type="dxa"/>
          </w:tcPr>
          <w:p w:rsidR="00C32FE5" w:rsidRPr="00FF468D" w:rsidRDefault="00A73F62" w:rsidP="00FF468D">
            <w:pPr>
              <w:rPr>
                <w:rFonts w:ascii="Arial Narrow" w:hAnsi="Arial Narrow"/>
                <w:sz w:val="20"/>
                <w:szCs w:val="20"/>
              </w:rPr>
            </w:pPr>
            <w:r>
              <w:rPr>
                <w:rFonts w:ascii="Arial Narrow" w:hAnsi="Arial Narrow"/>
                <w:sz w:val="20"/>
                <w:szCs w:val="20"/>
              </w:rPr>
              <w:t>Regional and global</w:t>
            </w:r>
          </w:p>
        </w:tc>
        <w:tc>
          <w:tcPr>
            <w:tcW w:w="1621" w:type="dxa"/>
          </w:tcPr>
          <w:p w:rsidR="00C32FE5" w:rsidRPr="00FF468D" w:rsidRDefault="00C32FE5" w:rsidP="00FF468D">
            <w:pPr>
              <w:rPr>
                <w:rFonts w:ascii="Arial Narrow" w:hAnsi="Arial Narrow"/>
                <w:sz w:val="20"/>
                <w:szCs w:val="20"/>
              </w:rPr>
            </w:pPr>
            <w:r>
              <w:rPr>
                <w:rFonts w:ascii="Arial Narrow" w:hAnsi="Arial Narrow"/>
                <w:sz w:val="20"/>
                <w:szCs w:val="20"/>
              </w:rPr>
              <w:t>Fisheries and aquauculture</w:t>
            </w:r>
          </w:p>
        </w:tc>
      </w:tr>
      <w:tr w:rsidR="00C32FE5" w:rsidTr="00FF468D">
        <w:tc>
          <w:tcPr>
            <w:tcW w:w="3936" w:type="dxa"/>
          </w:tcPr>
          <w:p w:rsidR="00C32FE5" w:rsidRDefault="00C32FE5" w:rsidP="00FF468D">
            <w:pPr>
              <w:rPr>
                <w:rFonts w:ascii="Arial Narrow" w:hAnsi="Arial Narrow"/>
                <w:sz w:val="20"/>
                <w:szCs w:val="20"/>
              </w:rPr>
            </w:pPr>
            <w:r>
              <w:rPr>
                <w:rFonts w:ascii="Arial Narrow" w:hAnsi="Arial Narrow"/>
                <w:sz w:val="20"/>
                <w:szCs w:val="20"/>
              </w:rPr>
              <w:lastRenderedPageBreak/>
              <w:t xml:space="preserve">9.Promotion of fish value chain development </w:t>
            </w:r>
          </w:p>
        </w:tc>
        <w:tc>
          <w:tcPr>
            <w:tcW w:w="1842" w:type="dxa"/>
          </w:tcPr>
          <w:p w:rsidR="00C32FE5" w:rsidRPr="00FF468D" w:rsidRDefault="006B6ABD" w:rsidP="006B6ABD">
            <w:pPr>
              <w:jc w:val="center"/>
              <w:rPr>
                <w:rFonts w:ascii="Arial Narrow" w:hAnsi="Arial Narrow"/>
                <w:sz w:val="20"/>
                <w:szCs w:val="20"/>
              </w:rPr>
            </w:pPr>
            <w:r>
              <w:rPr>
                <w:rFonts w:ascii="Arial Narrow" w:hAnsi="Arial Narrow"/>
                <w:sz w:val="20"/>
                <w:szCs w:val="20"/>
              </w:rPr>
              <w:t>6</w:t>
            </w:r>
          </w:p>
        </w:tc>
        <w:tc>
          <w:tcPr>
            <w:tcW w:w="1843" w:type="dxa"/>
          </w:tcPr>
          <w:p w:rsidR="00C32FE5" w:rsidRPr="00FF468D" w:rsidRDefault="00A73F62" w:rsidP="00FF468D">
            <w:pPr>
              <w:rPr>
                <w:rFonts w:ascii="Arial Narrow" w:hAnsi="Arial Narrow"/>
                <w:sz w:val="20"/>
                <w:szCs w:val="20"/>
              </w:rPr>
            </w:pPr>
            <w:r>
              <w:rPr>
                <w:rFonts w:ascii="Arial Narrow" w:hAnsi="Arial Narrow"/>
                <w:sz w:val="20"/>
                <w:szCs w:val="20"/>
              </w:rPr>
              <w:t>National</w:t>
            </w:r>
          </w:p>
        </w:tc>
        <w:tc>
          <w:tcPr>
            <w:tcW w:w="1621" w:type="dxa"/>
          </w:tcPr>
          <w:p w:rsidR="00C32FE5" w:rsidRPr="00FF468D" w:rsidRDefault="00C32FE5" w:rsidP="00FF468D">
            <w:pPr>
              <w:rPr>
                <w:rFonts w:ascii="Arial Narrow" w:hAnsi="Arial Narrow"/>
                <w:sz w:val="20"/>
                <w:szCs w:val="20"/>
              </w:rPr>
            </w:pPr>
            <w:r>
              <w:rPr>
                <w:rFonts w:ascii="Arial Narrow" w:hAnsi="Arial Narrow"/>
                <w:sz w:val="20"/>
                <w:szCs w:val="20"/>
              </w:rPr>
              <w:t>Fisheries</w:t>
            </w:r>
          </w:p>
        </w:tc>
      </w:tr>
      <w:tr w:rsidR="00C32FE5" w:rsidTr="00FF468D">
        <w:tc>
          <w:tcPr>
            <w:tcW w:w="3936" w:type="dxa"/>
          </w:tcPr>
          <w:p w:rsidR="00C32FE5" w:rsidRDefault="00C32FE5" w:rsidP="00FF468D">
            <w:pPr>
              <w:rPr>
                <w:rFonts w:ascii="Arial Narrow" w:hAnsi="Arial Narrow"/>
                <w:sz w:val="20"/>
                <w:szCs w:val="20"/>
              </w:rPr>
            </w:pPr>
            <w:r>
              <w:rPr>
                <w:rFonts w:ascii="Arial Narrow" w:hAnsi="Arial Narrow"/>
                <w:sz w:val="20"/>
                <w:szCs w:val="20"/>
              </w:rPr>
              <w:t>10. Policies and technology for waste minimization</w:t>
            </w:r>
          </w:p>
        </w:tc>
        <w:tc>
          <w:tcPr>
            <w:tcW w:w="1842" w:type="dxa"/>
          </w:tcPr>
          <w:p w:rsidR="00C32FE5" w:rsidRPr="00FF468D" w:rsidRDefault="006B6ABD" w:rsidP="006B6ABD">
            <w:pPr>
              <w:jc w:val="center"/>
              <w:rPr>
                <w:rFonts w:ascii="Arial Narrow" w:hAnsi="Arial Narrow"/>
                <w:sz w:val="20"/>
                <w:szCs w:val="20"/>
              </w:rPr>
            </w:pPr>
            <w:r>
              <w:rPr>
                <w:rFonts w:ascii="Arial Narrow" w:hAnsi="Arial Narrow"/>
                <w:sz w:val="20"/>
                <w:szCs w:val="20"/>
              </w:rPr>
              <w:t>5</w:t>
            </w:r>
          </w:p>
        </w:tc>
        <w:tc>
          <w:tcPr>
            <w:tcW w:w="1843" w:type="dxa"/>
          </w:tcPr>
          <w:p w:rsidR="00C32FE5" w:rsidRPr="00FF468D" w:rsidRDefault="00A73F62" w:rsidP="00FF468D">
            <w:pPr>
              <w:rPr>
                <w:rFonts w:ascii="Arial Narrow" w:hAnsi="Arial Narrow"/>
                <w:sz w:val="20"/>
                <w:szCs w:val="20"/>
              </w:rPr>
            </w:pPr>
            <w:r>
              <w:rPr>
                <w:rFonts w:ascii="Arial Narrow" w:hAnsi="Arial Narrow"/>
                <w:sz w:val="20"/>
                <w:szCs w:val="20"/>
              </w:rPr>
              <w:t>National</w:t>
            </w:r>
          </w:p>
        </w:tc>
        <w:tc>
          <w:tcPr>
            <w:tcW w:w="1621" w:type="dxa"/>
          </w:tcPr>
          <w:p w:rsidR="00C32FE5" w:rsidRPr="00FF468D" w:rsidRDefault="00C32FE5" w:rsidP="00FF468D">
            <w:pPr>
              <w:rPr>
                <w:rFonts w:ascii="Arial Narrow" w:hAnsi="Arial Narrow"/>
                <w:sz w:val="20"/>
                <w:szCs w:val="20"/>
              </w:rPr>
            </w:pPr>
            <w:r>
              <w:rPr>
                <w:rFonts w:ascii="Arial Narrow" w:hAnsi="Arial Narrow"/>
                <w:sz w:val="20"/>
                <w:szCs w:val="20"/>
              </w:rPr>
              <w:t>Fisheries</w:t>
            </w:r>
          </w:p>
        </w:tc>
      </w:tr>
      <w:tr w:rsidR="00C32FE5" w:rsidTr="00FF468D">
        <w:tc>
          <w:tcPr>
            <w:tcW w:w="3936" w:type="dxa"/>
          </w:tcPr>
          <w:p w:rsidR="00C32FE5" w:rsidRDefault="00C32FE5" w:rsidP="00FF468D">
            <w:pPr>
              <w:rPr>
                <w:rFonts w:ascii="Arial Narrow" w:hAnsi="Arial Narrow"/>
                <w:sz w:val="20"/>
                <w:szCs w:val="20"/>
              </w:rPr>
            </w:pPr>
            <w:r>
              <w:rPr>
                <w:rFonts w:ascii="Arial Narrow" w:hAnsi="Arial Narrow"/>
                <w:sz w:val="20"/>
                <w:szCs w:val="20"/>
              </w:rPr>
              <w:t>11.Policy options for transparency in aquatic resources management</w:t>
            </w:r>
          </w:p>
        </w:tc>
        <w:tc>
          <w:tcPr>
            <w:tcW w:w="1842" w:type="dxa"/>
          </w:tcPr>
          <w:p w:rsidR="00C32FE5" w:rsidRPr="00FF468D" w:rsidRDefault="006B6ABD" w:rsidP="006B6ABD">
            <w:pPr>
              <w:jc w:val="center"/>
              <w:rPr>
                <w:rFonts w:ascii="Arial Narrow" w:hAnsi="Arial Narrow"/>
                <w:sz w:val="20"/>
                <w:szCs w:val="20"/>
              </w:rPr>
            </w:pPr>
            <w:r>
              <w:rPr>
                <w:rFonts w:ascii="Arial Narrow" w:hAnsi="Arial Narrow"/>
                <w:sz w:val="20"/>
                <w:szCs w:val="20"/>
              </w:rPr>
              <w:t>4</w:t>
            </w:r>
          </w:p>
        </w:tc>
        <w:tc>
          <w:tcPr>
            <w:tcW w:w="1843" w:type="dxa"/>
          </w:tcPr>
          <w:p w:rsidR="00C32FE5" w:rsidRPr="00FF468D" w:rsidRDefault="00A73F62" w:rsidP="00FF468D">
            <w:pPr>
              <w:rPr>
                <w:rFonts w:ascii="Arial Narrow" w:hAnsi="Arial Narrow"/>
                <w:sz w:val="20"/>
                <w:szCs w:val="20"/>
              </w:rPr>
            </w:pPr>
            <w:r>
              <w:rPr>
                <w:rFonts w:ascii="Arial Narrow" w:hAnsi="Arial Narrow"/>
                <w:sz w:val="20"/>
                <w:szCs w:val="20"/>
              </w:rPr>
              <w:t>National, regional and global</w:t>
            </w:r>
          </w:p>
        </w:tc>
        <w:tc>
          <w:tcPr>
            <w:tcW w:w="1621" w:type="dxa"/>
          </w:tcPr>
          <w:p w:rsidR="00C32FE5" w:rsidRPr="00FF468D" w:rsidRDefault="00C32FE5" w:rsidP="00FF468D">
            <w:pPr>
              <w:rPr>
                <w:rFonts w:ascii="Arial Narrow" w:hAnsi="Arial Narrow"/>
                <w:sz w:val="20"/>
                <w:szCs w:val="20"/>
              </w:rPr>
            </w:pPr>
            <w:r>
              <w:rPr>
                <w:rFonts w:ascii="Arial Narrow" w:hAnsi="Arial Narrow"/>
                <w:sz w:val="20"/>
                <w:szCs w:val="20"/>
              </w:rPr>
              <w:t>Fisheries</w:t>
            </w:r>
          </w:p>
        </w:tc>
      </w:tr>
      <w:tr w:rsidR="00C32FE5" w:rsidTr="00FF468D">
        <w:tc>
          <w:tcPr>
            <w:tcW w:w="3936" w:type="dxa"/>
          </w:tcPr>
          <w:p w:rsidR="00C32FE5" w:rsidRDefault="00C32FE5" w:rsidP="00FF468D">
            <w:pPr>
              <w:rPr>
                <w:rFonts w:ascii="Arial Narrow" w:hAnsi="Arial Narrow"/>
                <w:sz w:val="20"/>
                <w:szCs w:val="20"/>
              </w:rPr>
            </w:pPr>
            <w:r>
              <w:rPr>
                <w:rFonts w:ascii="Arial Narrow" w:hAnsi="Arial Narrow"/>
                <w:sz w:val="20"/>
                <w:szCs w:val="20"/>
              </w:rPr>
              <w:t>12. Insurance in the fishery sector</w:t>
            </w:r>
          </w:p>
        </w:tc>
        <w:tc>
          <w:tcPr>
            <w:tcW w:w="1842" w:type="dxa"/>
          </w:tcPr>
          <w:p w:rsidR="00C32FE5" w:rsidRPr="00FF468D" w:rsidRDefault="0071773E" w:rsidP="006B6ABD">
            <w:pPr>
              <w:jc w:val="center"/>
              <w:rPr>
                <w:rFonts w:ascii="Arial Narrow" w:hAnsi="Arial Narrow"/>
                <w:sz w:val="20"/>
                <w:szCs w:val="20"/>
              </w:rPr>
            </w:pPr>
            <w:r>
              <w:rPr>
                <w:rFonts w:ascii="Arial Narrow" w:hAnsi="Arial Narrow"/>
                <w:sz w:val="20"/>
                <w:szCs w:val="20"/>
              </w:rPr>
              <w:t>4</w:t>
            </w:r>
          </w:p>
        </w:tc>
        <w:tc>
          <w:tcPr>
            <w:tcW w:w="1843" w:type="dxa"/>
          </w:tcPr>
          <w:p w:rsidR="00C32FE5" w:rsidRPr="00FF468D" w:rsidRDefault="00A73F62" w:rsidP="00FF468D">
            <w:pPr>
              <w:rPr>
                <w:rFonts w:ascii="Arial Narrow" w:hAnsi="Arial Narrow"/>
                <w:sz w:val="20"/>
                <w:szCs w:val="20"/>
              </w:rPr>
            </w:pPr>
            <w:r>
              <w:rPr>
                <w:rFonts w:ascii="Arial Narrow" w:hAnsi="Arial Narrow"/>
                <w:sz w:val="20"/>
                <w:szCs w:val="20"/>
              </w:rPr>
              <w:t>National</w:t>
            </w:r>
          </w:p>
        </w:tc>
        <w:tc>
          <w:tcPr>
            <w:tcW w:w="1621" w:type="dxa"/>
          </w:tcPr>
          <w:p w:rsidR="00C32FE5" w:rsidRPr="00FF468D" w:rsidRDefault="00C32FE5" w:rsidP="00FF468D">
            <w:pPr>
              <w:rPr>
                <w:rFonts w:ascii="Arial Narrow" w:hAnsi="Arial Narrow"/>
                <w:sz w:val="20"/>
                <w:szCs w:val="20"/>
              </w:rPr>
            </w:pPr>
            <w:r>
              <w:rPr>
                <w:rFonts w:ascii="Arial Narrow" w:hAnsi="Arial Narrow"/>
                <w:sz w:val="20"/>
                <w:szCs w:val="20"/>
              </w:rPr>
              <w:t>Fisheries and aquaculture</w:t>
            </w:r>
          </w:p>
        </w:tc>
      </w:tr>
      <w:tr w:rsidR="00C32FE5" w:rsidTr="00FF468D">
        <w:tc>
          <w:tcPr>
            <w:tcW w:w="3936" w:type="dxa"/>
          </w:tcPr>
          <w:p w:rsidR="00C32FE5" w:rsidRDefault="00C32FE5" w:rsidP="00C32FE5">
            <w:pPr>
              <w:rPr>
                <w:rFonts w:ascii="Arial Narrow" w:hAnsi="Arial Narrow"/>
                <w:sz w:val="20"/>
                <w:szCs w:val="20"/>
              </w:rPr>
            </w:pPr>
            <w:r>
              <w:rPr>
                <w:rFonts w:ascii="Arial Narrow" w:hAnsi="Arial Narrow"/>
                <w:sz w:val="20"/>
                <w:szCs w:val="20"/>
              </w:rPr>
              <w:t>13.Investment in fisheries research and development</w:t>
            </w:r>
          </w:p>
        </w:tc>
        <w:tc>
          <w:tcPr>
            <w:tcW w:w="1842" w:type="dxa"/>
          </w:tcPr>
          <w:p w:rsidR="00C32FE5" w:rsidRPr="00FF468D" w:rsidRDefault="006B6ABD" w:rsidP="006B6ABD">
            <w:pPr>
              <w:jc w:val="center"/>
              <w:rPr>
                <w:rFonts w:ascii="Arial Narrow" w:hAnsi="Arial Narrow"/>
                <w:sz w:val="20"/>
                <w:szCs w:val="20"/>
              </w:rPr>
            </w:pPr>
            <w:r>
              <w:rPr>
                <w:rFonts w:ascii="Arial Narrow" w:hAnsi="Arial Narrow"/>
                <w:sz w:val="20"/>
                <w:szCs w:val="20"/>
              </w:rPr>
              <w:t>8</w:t>
            </w:r>
          </w:p>
        </w:tc>
        <w:tc>
          <w:tcPr>
            <w:tcW w:w="1843" w:type="dxa"/>
          </w:tcPr>
          <w:p w:rsidR="00C32FE5" w:rsidRPr="00FF468D" w:rsidRDefault="00A73F62" w:rsidP="00FF468D">
            <w:pPr>
              <w:rPr>
                <w:rFonts w:ascii="Arial Narrow" w:hAnsi="Arial Narrow"/>
                <w:sz w:val="20"/>
                <w:szCs w:val="20"/>
              </w:rPr>
            </w:pPr>
            <w:r>
              <w:rPr>
                <w:rFonts w:ascii="Arial Narrow" w:hAnsi="Arial Narrow"/>
                <w:sz w:val="20"/>
                <w:szCs w:val="20"/>
              </w:rPr>
              <w:t>National</w:t>
            </w:r>
          </w:p>
        </w:tc>
        <w:tc>
          <w:tcPr>
            <w:tcW w:w="1621" w:type="dxa"/>
          </w:tcPr>
          <w:p w:rsidR="00C32FE5" w:rsidRPr="00FF468D" w:rsidRDefault="00C32FE5" w:rsidP="00FF468D">
            <w:pPr>
              <w:rPr>
                <w:rFonts w:ascii="Arial Narrow" w:hAnsi="Arial Narrow"/>
                <w:sz w:val="20"/>
                <w:szCs w:val="20"/>
              </w:rPr>
            </w:pPr>
            <w:r>
              <w:rPr>
                <w:rFonts w:ascii="Arial Narrow" w:hAnsi="Arial Narrow"/>
                <w:sz w:val="20"/>
                <w:szCs w:val="20"/>
              </w:rPr>
              <w:t xml:space="preserve">Fisheries </w:t>
            </w:r>
            <w:r w:rsidR="00A73F62">
              <w:rPr>
                <w:rFonts w:ascii="Arial Narrow" w:hAnsi="Arial Narrow"/>
                <w:sz w:val="20"/>
                <w:szCs w:val="20"/>
              </w:rPr>
              <w:t xml:space="preserve">and </w:t>
            </w:r>
            <w:r>
              <w:rPr>
                <w:rFonts w:ascii="Arial Narrow" w:hAnsi="Arial Narrow"/>
                <w:sz w:val="20"/>
                <w:szCs w:val="20"/>
              </w:rPr>
              <w:t>Aquaculture</w:t>
            </w:r>
          </w:p>
        </w:tc>
      </w:tr>
    </w:tbl>
    <w:p w:rsidR="00BF46FC" w:rsidRDefault="00BF46FC" w:rsidP="00FF468D">
      <w:pPr>
        <w:spacing w:after="0" w:line="240" w:lineRule="auto"/>
      </w:pPr>
      <w:r>
        <w:t xml:space="preserve"> </w:t>
      </w:r>
    </w:p>
    <w:p w:rsidR="006B1833" w:rsidRDefault="006B1833" w:rsidP="009E5340">
      <w:pPr>
        <w:spacing w:after="0" w:line="240" w:lineRule="auto"/>
        <w:jc w:val="both"/>
      </w:pPr>
      <w:r>
        <w:t>Specific comments on key issues are given below.</w:t>
      </w:r>
    </w:p>
    <w:p w:rsidR="006B1833" w:rsidRDefault="006B1833" w:rsidP="009E5340">
      <w:pPr>
        <w:spacing w:after="0" w:line="240" w:lineRule="auto"/>
        <w:jc w:val="both"/>
      </w:pPr>
    </w:p>
    <w:p w:rsidR="006B1833" w:rsidRDefault="006B1833" w:rsidP="009E5340">
      <w:pPr>
        <w:spacing w:after="0" w:line="240" w:lineRule="auto"/>
        <w:jc w:val="both"/>
      </w:pPr>
      <w:r>
        <w:t>On issue no. 2 (integrity of the resource base), we need to develop not only policies to support an ecosystem approach to minimize waste generation, but also policies to manage mulitiple uses of water for aquaculture, irrigation (for agriculture), domestic water supply, power generation, and industries. These two types of policies must be supportive to each other to ensure that dwindling water resources</w:t>
      </w:r>
      <w:r w:rsidR="0071773E">
        <w:t xml:space="preserve"> in many countries</w:t>
      </w:r>
      <w:r>
        <w:t xml:space="preserve"> could be used optimally</w:t>
      </w:r>
      <w:r w:rsidR="0071773E">
        <w:t xml:space="preserve"> without producing pollution in</w:t>
      </w:r>
      <w:r>
        <w:t xml:space="preserve"> downstream </w:t>
      </w:r>
      <w:r w:rsidR="0071773E">
        <w:t>areas</w:t>
      </w:r>
      <w:r>
        <w:t>.</w:t>
      </w:r>
    </w:p>
    <w:p w:rsidR="00DE42F5" w:rsidRDefault="00DE42F5" w:rsidP="009E5340">
      <w:pPr>
        <w:spacing w:after="0" w:line="240" w:lineRule="auto"/>
        <w:jc w:val="both"/>
      </w:pPr>
    </w:p>
    <w:p w:rsidR="00DE42F5" w:rsidRDefault="00DE42F5" w:rsidP="009E5340">
      <w:pPr>
        <w:spacing w:after="0" w:line="240" w:lineRule="auto"/>
        <w:jc w:val="both"/>
      </w:pPr>
      <w:r>
        <w:t>On issue no. 4 (securing small-scale fisheries/artisanal fisheries</w:t>
      </w:r>
      <w:r w:rsidR="00D00F98">
        <w:t>)</w:t>
      </w:r>
      <w:r>
        <w:t xml:space="preserve">, given the problem of overfishing in many coastal areas in developing countries and </w:t>
      </w:r>
      <w:r w:rsidR="00D00F98">
        <w:t xml:space="preserve"> the </w:t>
      </w:r>
      <w:r>
        <w:t xml:space="preserve">widespread poverty among small-scale fishers, I would like to suggest that we should develop policies that would encourage small-scale fishers to become fish farmers, particularly in countries where the potential for aquaculture development is very large, as in Indonesia, Philippines and Bangladesh. In this way, we can reduce the pressure on </w:t>
      </w:r>
      <w:r w:rsidR="00D00F98">
        <w:t>marine and coastal resources to achiev</w:t>
      </w:r>
      <w:r w:rsidR="0071773E">
        <w:t>e sustainable development of fi</w:t>
      </w:r>
      <w:r w:rsidR="00D00F98">
        <w:t>s</w:t>
      </w:r>
      <w:r w:rsidR="0071773E">
        <w:t>h</w:t>
      </w:r>
      <w:r w:rsidR="00D00F98">
        <w:t>eries and aquaculture.</w:t>
      </w:r>
    </w:p>
    <w:p w:rsidR="00D00F98" w:rsidRDefault="00D00F98" w:rsidP="009E5340">
      <w:pPr>
        <w:spacing w:after="0" w:line="240" w:lineRule="auto"/>
        <w:jc w:val="both"/>
      </w:pPr>
    </w:p>
    <w:p w:rsidR="001F6C4E" w:rsidRDefault="00D00F98" w:rsidP="009E5340">
      <w:pPr>
        <w:spacing w:after="0" w:line="240" w:lineRule="auto"/>
        <w:jc w:val="both"/>
      </w:pPr>
      <w:r>
        <w:t>On issue no. 7 (promotion of sustainable aquaculture), disease outbreaks have affected not only Atlantic salmon in Chile, oysters in Europe, and shrimp farming in Asia</w:t>
      </w:r>
      <w:r w:rsidR="001F6C4E">
        <w:t xml:space="preserve"> and Mozambique</w:t>
      </w:r>
      <w:r>
        <w:t>, but also seaweed farming in Indonesia. Widespread seaweed diseases in Buton Island in Southeast Sulawesi, for example, has devastated production and income of many small-scale fish farmers</w:t>
      </w:r>
      <w:r w:rsidR="001F6C4E">
        <w:t xml:space="preserve"> in this area</w:t>
      </w:r>
      <w:r>
        <w:t xml:space="preserve">. As a result, </w:t>
      </w:r>
      <w:r w:rsidR="001F6C4E">
        <w:t xml:space="preserve">most of them </w:t>
      </w:r>
      <w:r>
        <w:t>have</w:t>
      </w:r>
      <w:r w:rsidR="0071773E">
        <w:t xml:space="preserve"> decided to go back in earning income from</w:t>
      </w:r>
      <w:r>
        <w:t xml:space="preserve"> capture fisheries because they have lost interest in growing seaweed</w:t>
      </w:r>
      <w:r w:rsidR="001F6C4E">
        <w:t xml:space="preserve"> and they lack alternative employment opportunities</w:t>
      </w:r>
      <w:r>
        <w:t>. Thus, we need to review the latest development of aquaculture in all</w:t>
      </w:r>
      <w:r w:rsidR="001F6C4E">
        <w:t xml:space="preserve"> the</w:t>
      </w:r>
      <w:r>
        <w:t xml:space="preserve"> countries</w:t>
      </w:r>
      <w:r w:rsidR="001F6C4E">
        <w:t xml:space="preserve"> where aquaculture is an important sector,</w:t>
      </w:r>
      <w:r>
        <w:t xml:space="preserve"> and</w:t>
      </w:r>
      <w:r w:rsidR="001F6C4E">
        <w:t xml:space="preserve"> then</w:t>
      </w:r>
      <w:r>
        <w:t xml:space="preserve"> formulate policy options for the sustainable development of aquaculture</w:t>
      </w:r>
      <w:r w:rsidR="001F6C4E">
        <w:t xml:space="preserve"> to ensure its maximum contribution to food security and nutrition</w:t>
      </w:r>
      <w:r>
        <w:t>.</w:t>
      </w:r>
    </w:p>
    <w:p w:rsidR="001F6C4E" w:rsidRDefault="001F6C4E" w:rsidP="009E5340">
      <w:pPr>
        <w:spacing w:after="0" w:line="240" w:lineRule="auto"/>
        <w:jc w:val="both"/>
      </w:pPr>
    </w:p>
    <w:p w:rsidR="009E5340" w:rsidRDefault="001F6C4E" w:rsidP="009E5340">
      <w:pPr>
        <w:spacing w:after="0" w:line="240" w:lineRule="auto"/>
        <w:jc w:val="both"/>
      </w:pPr>
      <w:r>
        <w:t>On issue no. 10 (investment in fisheries research and development), it is well recognized that investment in fisheries and aquaculture</w:t>
      </w:r>
      <w:r w:rsidR="009E5340">
        <w:t xml:space="preserve"> research</w:t>
      </w:r>
      <w:r>
        <w:t xml:space="preserve"> will bring high return</w:t>
      </w:r>
      <w:r w:rsidR="009E5340">
        <w:t>s</w:t>
      </w:r>
      <w:r>
        <w:t xml:space="preserve"> to the economy. Investment in research is not only required at the national level but also at the international level.</w:t>
      </w:r>
      <w:r w:rsidR="009E5340">
        <w:t xml:space="preserve"> Unfortunately, many developing</w:t>
      </w:r>
      <w:r>
        <w:t xml:space="preserve"> countries have </w:t>
      </w:r>
      <w:r w:rsidR="009E5340">
        <w:t xml:space="preserve">generally accorded </w:t>
      </w:r>
      <w:r>
        <w:t>low priority on the importance of  fisheries</w:t>
      </w:r>
      <w:r w:rsidR="009E5340">
        <w:t xml:space="preserve"> and aquaculture</w:t>
      </w:r>
      <w:r>
        <w:t xml:space="preserve"> research and development by providing </w:t>
      </w:r>
      <w:r w:rsidR="009E5340">
        <w:t>small</w:t>
      </w:r>
      <w:r>
        <w:t xml:space="preserve"> budget</w:t>
      </w:r>
      <w:r w:rsidR="009E5340">
        <w:t xml:space="preserve"> and for not providing adequate </w:t>
      </w:r>
      <w:r>
        <w:t>facilities</w:t>
      </w:r>
      <w:r w:rsidR="009E5340">
        <w:t xml:space="preserve"> for the scientists to carry out research and publish their findings</w:t>
      </w:r>
      <w:r>
        <w:t xml:space="preserve">. </w:t>
      </w:r>
      <w:r w:rsidR="009E5340">
        <w:t>As a way out, we need</w:t>
      </w:r>
      <w:r w:rsidR="0071773E">
        <w:t xml:space="preserve"> to</w:t>
      </w:r>
      <w:r w:rsidR="009E5340">
        <w:t xml:space="preserve"> consider strengthening the World Fish Center (formerly known as ICLARM) because this center can play a major role in the formulation of policies </w:t>
      </w:r>
      <w:r w:rsidR="0071773E">
        <w:t>which need to be carried out in this sector</w:t>
      </w:r>
      <w:r w:rsidR="009E5340">
        <w:t>.</w:t>
      </w:r>
    </w:p>
    <w:p w:rsidR="009E5340" w:rsidRDefault="009E5340" w:rsidP="009E5340">
      <w:pPr>
        <w:spacing w:after="0" w:line="240" w:lineRule="auto"/>
        <w:jc w:val="both"/>
      </w:pPr>
    </w:p>
    <w:p w:rsidR="001F6C4E" w:rsidRDefault="009E5340" w:rsidP="009E5340">
      <w:pPr>
        <w:spacing w:after="0" w:line="240" w:lineRule="auto"/>
        <w:jc w:val="both"/>
      </w:pPr>
      <w:r>
        <w:t>Jakarta, 16 April 2012.</w:t>
      </w:r>
      <w:r w:rsidR="001F6C4E">
        <w:t xml:space="preserve"> </w:t>
      </w:r>
    </w:p>
    <w:p w:rsidR="001F6C4E" w:rsidRDefault="001F6C4E" w:rsidP="009E5340">
      <w:pPr>
        <w:spacing w:after="0" w:line="240" w:lineRule="auto"/>
        <w:jc w:val="both"/>
      </w:pPr>
    </w:p>
    <w:p w:rsidR="00D00F98" w:rsidRDefault="00D00F98" w:rsidP="00FF468D">
      <w:pPr>
        <w:spacing w:after="0" w:line="240" w:lineRule="auto"/>
      </w:pPr>
      <w:r>
        <w:t xml:space="preserve"> </w:t>
      </w:r>
    </w:p>
    <w:sectPr w:rsidR="00D00F98" w:rsidSect="00C415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2C80"/>
    <w:multiLevelType w:val="hybridMultilevel"/>
    <w:tmpl w:val="37FE7A14"/>
    <w:lvl w:ilvl="0" w:tplc="A03A3E88">
      <w:start w:val="1"/>
      <w:numFmt w:val="lowerRoman"/>
      <w:lvlText w:val="(%1)"/>
      <w:lvlJc w:val="left"/>
      <w:pPr>
        <w:ind w:left="1440" w:hanging="72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20"/>
  <w:characterSpacingControl w:val="doNotCompress"/>
  <w:compat/>
  <w:rsids>
    <w:rsidRoot w:val="00BF46FC"/>
    <w:rsid w:val="000E3DB0"/>
    <w:rsid w:val="001F6C4E"/>
    <w:rsid w:val="00264B57"/>
    <w:rsid w:val="00387DB4"/>
    <w:rsid w:val="006B1833"/>
    <w:rsid w:val="006B6ABD"/>
    <w:rsid w:val="0071773E"/>
    <w:rsid w:val="0076224C"/>
    <w:rsid w:val="009E5340"/>
    <w:rsid w:val="00A26655"/>
    <w:rsid w:val="00A73F62"/>
    <w:rsid w:val="00BA72C6"/>
    <w:rsid w:val="00BF46FC"/>
    <w:rsid w:val="00C32FE5"/>
    <w:rsid w:val="00C41584"/>
    <w:rsid w:val="00D00F98"/>
    <w:rsid w:val="00D943D4"/>
    <w:rsid w:val="00DE42F5"/>
    <w:rsid w:val="00FF468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5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24C"/>
    <w:pPr>
      <w:ind w:left="720"/>
      <w:contextualSpacing/>
    </w:pPr>
  </w:style>
  <w:style w:type="table" w:styleId="TableGrid">
    <w:name w:val="Table Grid"/>
    <w:basedOn w:val="TableNormal"/>
    <w:uiPriority w:val="59"/>
    <w:rsid w:val="00FF4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Renata Mirulla (ESA)</cp:lastModifiedBy>
  <cp:revision>2</cp:revision>
  <dcterms:created xsi:type="dcterms:W3CDTF">2013-04-16T11:37:00Z</dcterms:created>
  <dcterms:modified xsi:type="dcterms:W3CDTF">2013-04-16T11:37:00Z</dcterms:modified>
</cp:coreProperties>
</file>