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A0B" w:rsidRDefault="00657D25" w:rsidP="004D06AE">
      <w:pPr>
        <w:pStyle w:val="Heading2"/>
        <w:rPr>
          <w:lang w:val="en-GB"/>
        </w:rPr>
      </w:pPr>
      <w:r>
        <w:rPr>
          <w:lang w:val="en-GB"/>
        </w:rPr>
        <w:t>C</w:t>
      </w:r>
      <w:r w:rsidR="004D06AE">
        <w:rPr>
          <w:lang w:val="en-GB"/>
        </w:rPr>
        <w:t xml:space="preserve">ontribution to on-line consultation on scope of the </w:t>
      </w:r>
      <w:r w:rsidR="007227D4">
        <w:rPr>
          <w:lang w:val="en-GB"/>
        </w:rPr>
        <w:t xml:space="preserve">HLPE </w:t>
      </w:r>
      <w:r w:rsidR="004D06AE">
        <w:rPr>
          <w:lang w:val="en-GB"/>
        </w:rPr>
        <w:t xml:space="preserve">report </w:t>
      </w:r>
    </w:p>
    <w:p w:rsidR="004D06AE" w:rsidRDefault="004D06AE" w:rsidP="004D06AE">
      <w:pPr>
        <w:pStyle w:val="NoSpacing"/>
        <w:rPr>
          <w:lang w:val="en-GB"/>
        </w:rPr>
      </w:pPr>
    </w:p>
    <w:p w:rsidR="00657D25" w:rsidRPr="00264840" w:rsidRDefault="00657D25" w:rsidP="004D06AE">
      <w:pPr>
        <w:pStyle w:val="NoSpacing"/>
        <w:rPr>
          <w:b/>
          <w:lang w:val="en-GB"/>
        </w:rPr>
      </w:pPr>
      <w:r w:rsidRPr="00264840">
        <w:rPr>
          <w:b/>
          <w:lang w:val="en-GB"/>
        </w:rPr>
        <w:t xml:space="preserve">Marzella Wüstefeld, </w:t>
      </w:r>
      <w:r w:rsidR="006C1BC3" w:rsidRPr="00264840">
        <w:rPr>
          <w:b/>
          <w:lang w:val="en-GB"/>
        </w:rPr>
        <w:t>Department of Nutrition for Health and Development, World Health Organization,</w:t>
      </w:r>
      <w:r w:rsidRPr="00264840">
        <w:rPr>
          <w:b/>
          <w:lang w:val="en-GB"/>
        </w:rPr>
        <w:t xml:space="preserve"> Geneva</w:t>
      </w:r>
    </w:p>
    <w:p w:rsidR="00657D25" w:rsidRDefault="00657D25" w:rsidP="004D06AE">
      <w:pPr>
        <w:pStyle w:val="NoSpacing"/>
        <w:rPr>
          <w:lang w:val="en-GB"/>
        </w:rPr>
      </w:pPr>
    </w:p>
    <w:p w:rsidR="0072776A" w:rsidRDefault="0072776A" w:rsidP="0072776A">
      <w:pPr>
        <w:pStyle w:val="NoSpacing"/>
        <w:rPr>
          <w:lang w:val="en-GB"/>
        </w:rPr>
      </w:pPr>
      <w:r w:rsidRPr="0072776A">
        <w:rPr>
          <w:lang w:val="en-GB"/>
        </w:rPr>
        <w:t xml:space="preserve">Thank you for this opportunity to provide comments on the </w:t>
      </w:r>
      <w:r>
        <w:rPr>
          <w:lang w:val="en-GB"/>
        </w:rPr>
        <w:t>proposed scope of the HLPE report on ‘</w:t>
      </w:r>
      <w:r w:rsidRPr="0072776A">
        <w:rPr>
          <w:lang w:val="en-GB"/>
        </w:rPr>
        <w:t>Agroecological approaches and other innovations for sustainable agriculture and food systems that enhance food security and nutrition’</w:t>
      </w:r>
      <w:r>
        <w:rPr>
          <w:lang w:val="en-GB"/>
        </w:rPr>
        <w:t xml:space="preserve">. </w:t>
      </w:r>
    </w:p>
    <w:p w:rsidR="0072776A" w:rsidRDefault="0072776A" w:rsidP="0072776A">
      <w:pPr>
        <w:pStyle w:val="NoSpacing"/>
        <w:rPr>
          <w:lang w:val="en-GB"/>
        </w:rPr>
      </w:pPr>
    </w:p>
    <w:p w:rsidR="0072776A" w:rsidRPr="0072776A" w:rsidRDefault="0072776A" w:rsidP="0072776A">
      <w:pPr>
        <w:pStyle w:val="NoSpacing"/>
        <w:rPr>
          <w:lang w:val="en-GB"/>
        </w:rPr>
      </w:pPr>
      <w:r w:rsidRPr="0072776A">
        <w:rPr>
          <w:lang w:val="en-GB"/>
        </w:rPr>
        <w:t xml:space="preserve">We welcome that the Committee on World Food Security (CFS) has decided to play an important role in advancing </w:t>
      </w:r>
      <w:r>
        <w:rPr>
          <w:lang w:val="en-GB"/>
        </w:rPr>
        <w:t>this important topic and we see this as an opportunity to further strengthen CFS’s</w:t>
      </w:r>
      <w:r w:rsidRPr="0072776A">
        <w:rPr>
          <w:lang w:val="en-GB"/>
        </w:rPr>
        <w:t xml:space="preserve"> contribution to the UN Decade of Action on Nutrition over the next years </w:t>
      </w:r>
      <w:r w:rsidR="005D7490">
        <w:rPr>
          <w:lang w:val="en-GB"/>
        </w:rPr>
        <w:t xml:space="preserve">until </w:t>
      </w:r>
      <w:r w:rsidRPr="0072776A">
        <w:rPr>
          <w:lang w:val="en-GB"/>
        </w:rPr>
        <w:t xml:space="preserve">2025. </w:t>
      </w:r>
      <w:r>
        <w:rPr>
          <w:lang w:val="en-GB"/>
        </w:rPr>
        <w:t xml:space="preserve"> </w:t>
      </w:r>
    </w:p>
    <w:p w:rsidR="0072776A" w:rsidRPr="0072776A" w:rsidRDefault="0072776A" w:rsidP="0072776A">
      <w:pPr>
        <w:pStyle w:val="NoSpacing"/>
        <w:rPr>
          <w:lang w:val="en-GB"/>
        </w:rPr>
      </w:pPr>
    </w:p>
    <w:p w:rsidR="0072776A" w:rsidRDefault="0072776A" w:rsidP="0072776A">
      <w:pPr>
        <w:pStyle w:val="NoSpacing"/>
        <w:rPr>
          <w:lang w:val="en-GB"/>
        </w:rPr>
      </w:pPr>
      <w:r>
        <w:rPr>
          <w:lang w:val="en-GB"/>
        </w:rPr>
        <w:t xml:space="preserve">I </w:t>
      </w:r>
      <w:r w:rsidRPr="0072776A">
        <w:rPr>
          <w:lang w:val="en-GB"/>
        </w:rPr>
        <w:t>would like to provide the following overall comment:</w:t>
      </w:r>
      <w:r w:rsidR="00E94F0F">
        <w:rPr>
          <w:lang w:val="en-GB"/>
        </w:rPr>
        <w:t xml:space="preserve"> </w:t>
      </w:r>
    </w:p>
    <w:p w:rsidR="0072776A" w:rsidRDefault="0072776A" w:rsidP="004D06AE">
      <w:pPr>
        <w:pStyle w:val="NoSpacing"/>
        <w:rPr>
          <w:lang w:val="en-GB"/>
        </w:rPr>
      </w:pPr>
    </w:p>
    <w:p w:rsidR="0072776A" w:rsidRPr="007227D4" w:rsidRDefault="005D7490" w:rsidP="004D06AE">
      <w:pPr>
        <w:pStyle w:val="NoSpacing"/>
        <w:rPr>
          <w:lang w:val="en-GB"/>
        </w:rPr>
      </w:pPr>
      <w:r>
        <w:rPr>
          <w:lang w:val="en-GB"/>
        </w:rPr>
        <w:t xml:space="preserve">The analysis of the contribution of agroecological and other innovative approaches to meet future food demand in a sustainable manner should </w:t>
      </w:r>
      <w:r w:rsidR="008D0B65">
        <w:rPr>
          <w:lang w:val="en-GB"/>
        </w:rPr>
        <w:t>give</w:t>
      </w:r>
      <w:r>
        <w:rPr>
          <w:lang w:val="en-GB"/>
        </w:rPr>
        <w:t xml:space="preserve"> attention to </w:t>
      </w:r>
      <w:r w:rsidR="006365CC">
        <w:rPr>
          <w:lang w:val="en-GB"/>
        </w:rPr>
        <w:t xml:space="preserve">food in terms of quality in line with the outcomes of the Second International Conference on Nutrition (ICN2), and contribute to the understanding of the protective benefits of agroecology and other approaches to increase dietary </w:t>
      </w:r>
      <w:r w:rsidR="006365CC" w:rsidRPr="007227D4">
        <w:rPr>
          <w:lang w:val="en-GB"/>
        </w:rPr>
        <w:t xml:space="preserve">diversity and therefore generate improvements in nutrition and human health. </w:t>
      </w:r>
    </w:p>
    <w:p w:rsidR="0072776A" w:rsidRPr="007227D4" w:rsidRDefault="0072776A" w:rsidP="004D06AE">
      <w:pPr>
        <w:pStyle w:val="NoSpacing"/>
        <w:rPr>
          <w:lang w:val="en-GB"/>
        </w:rPr>
      </w:pPr>
    </w:p>
    <w:p w:rsidR="00657D25" w:rsidRPr="007227D4" w:rsidRDefault="0011558B" w:rsidP="0011558B">
      <w:pPr>
        <w:pStyle w:val="Default"/>
        <w:rPr>
          <w:rFonts w:asciiTheme="minorHAnsi" w:hAnsiTheme="minorHAnsi" w:cstheme="minorHAnsi"/>
          <w:color w:val="auto"/>
        </w:rPr>
      </w:pPr>
      <w:r w:rsidRPr="007227D4">
        <w:rPr>
          <w:rFonts w:asciiTheme="minorHAnsi" w:hAnsiTheme="minorHAnsi" w:cstheme="minorHAnsi"/>
          <w:color w:val="auto"/>
          <w:sz w:val="22"/>
          <w:szCs w:val="22"/>
        </w:rPr>
        <w:t xml:space="preserve">The HLPE report, therefore, </w:t>
      </w:r>
      <w:r w:rsidR="004D06AE" w:rsidRPr="007227D4">
        <w:rPr>
          <w:rFonts w:asciiTheme="minorHAnsi" w:hAnsiTheme="minorHAnsi" w:cstheme="minorHAnsi"/>
          <w:color w:val="auto"/>
          <w:sz w:val="22"/>
          <w:szCs w:val="22"/>
        </w:rPr>
        <w:t>shall a</w:t>
      </w:r>
      <w:r w:rsidRPr="007227D4">
        <w:rPr>
          <w:rFonts w:asciiTheme="minorHAnsi" w:hAnsiTheme="minorHAnsi" w:cstheme="minorHAnsi"/>
          <w:color w:val="auto"/>
          <w:sz w:val="22"/>
          <w:szCs w:val="22"/>
        </w:rPr>
        <w:t>ddress the following questions</w:t>
      </w:r>
      <w:r w:rsidR="008D0B65" w:rsidRPr="007227D4">
        <w:rPr>
          <w:rFonts w:asciiTheme="minorHAnsi" w:hAnsiTheme="minorHAnsi" w:cstheme="minorHAnsi"/>
          <w:color w:val="auto"/>
          <w:sz w:val="22"/>
          <w:szCs w:val="22"/>
        </w:rPr>
        <w:t>, t</w:t>
      </w:r>
      <w:r w:rsidR="004D06AE" w:rsidRPr="007227D4">
        <w:rPr>
          <w:rFonts w:asciiTheme="minorHAnsi" w:hAnsiTheme="minorHAnsi" w:cstheme="minorHAnsi"/>
          <w:color w:val="auto"/>
          <w:sz w:val="22"/>
          <w:szCs w:val="22"/>
        </w:rPr>
        <w:t xml:space="preserve">o what extent can agroecological and other innovative approaches, improve </w:t>
      </w:r>
      <w:r w:rsidR="00657D25" w:rsidRPr="007227D4">
        <w:rPr>
          <w:rFonts w:asciiTheme="minorHAnsi" w:hAnsiTheme="minorHAnsi" w:cstheme="minorHAnsi"/>
          <w:color w:val="auto"/>
          <w:sz w:val="22"/>
          <w:szCs w:val="22"/>
        </w:rPr>
        <w:t xml:space="preserve">production diversification and access to and availability of diverse nutritious foods in agriculture and food systems that enable healthy diets? </w:t>
      </w:r>
      <w:r w:rsidRPr="007227D4">
        <w:rPr>
          <w:rFonts w:asciiTheme="minorHAnsi" w:hAnsiTheme="minorHAnsi" w:cstheme="minorHAnsi"/>
          <w:color w:val="auto"/>
          <w:sz w:val="22"/>
          <w:szCs w:val="22"/>
        </w:rPr>
        <w:t xml:space="preserve">I </w:t>
      </w:r>
      <w:r w:rsidR="00657D25" w:rsidRPr="007227D4">
        <w:rPr>
          <w:rFonts w:asciiTheme="minorHAnsi" w:hAnsiTheme="minorHAnsi" w:cstheme="minorHAnsi"/>
          <w:color w:val="auto"/>
        </w:rPr>
        <w:t xml:space="preserve">would like to underline the importance of healthy sustainable diets to shape the agriculture production and food system. </w:t>
      </w:r>
    </w:p>
    <w:p w:rsidR="004D06AE" w:rsidRPr="007227D4" w:rsidRDefault="004D06AE" w:rsidP="004D06AE">
      <w:pPr>
        <w:pStyle w:val="NoSpacing"/>
        <w:rPr>
          <w:rFonts w:cstheme="minorHAnsi"/>
        </w:rPr>
      </w:pPr>
    </w:p>
    <w:p w:rsidR="009A7D83" w:rsidRPr="007227D4" w:rsidRDefault="009E299C" w:rsidP="00B73525">
      <w:pPr>
        <w:pStyle w:val="NoSpacing"/>
        <w:rPr>
          <w:rFonts w:cstheme="minorHAnsi"/>
        </w:rPr>
      </w:pPr>
      <w:r w:rsidRPr="007227D4">
        <w:rPr>
          <w:rFonts w:cstheme="minorHAnsi"/>
        </w:rPr>
        <w:t xml:space="preserve">In a world that expects to welcome another 3 billion people to the middle class in a few decades, producing and eating more sustainably will be </w:t>
      </w:r>
      <w:proofErr w:type="gramStart"/>
      <w:r w:rsidRPr="007227D4">
        <w:rPr>
          <w:rFonts w:cstheme="minorHAnsi"/>
        </w:rPr>
        <w:t>key</w:t>
      </w:r>
      <w:proofErr w:type="gramEnd"/>
      <w:r w:rsidR="00691DB9" w:rsidRPr="007227D4">
        <w:rPr>
          <w:rFonts w:cstheme="minorHAnsi"/>
        </w:rPr>
        <w:t xml:space="preserve">. With </w:t>
      </w:r>
      <w:r w:rsidRPr="007227D4">
        <w:rPr>
          <w:rFonts w:cstheme="minorHAnsi"/>
        </w:rPr>
        <w:t>reference to SDG 12</w:t>
      </w:r>
      <w:r w:rsidR="00691DB9" w:rsidRPr="007227D4">
        <w:rPr>
          <w:rFonts w:cstheme="minorHAnsi"/>
        </w:rPr>
        <w:t xml:space="preserve">, the links between production and consumption are important to sustainable food systems in order to have the richest possible food diversity on plates, sustainably sourced from the </w:t>
      </w:r>
      <w:r w:rsidR="00664483" w:rsidRPr="007227D4">
        <w:rPr>
          <w:rFonts w:cstheme="minorHAnsi"/>
        </w:rPr>
        <w:t xml:space="preserve">agroecological supported </w:t>
      </w:r>
      <w:r w:rsidR="00691DB9" w:rsidRPr="007227D4">
        <w:rPr>
          <w:rFonts w:cstheme="minorHAnsi"/>
        </w:rPr>
        <w:t>diversity that underpins agricultural systems.</w:t>
      </w:r>
      <w:r w:rsidR="00664483" w:rsidRPr="007227D4">
        <w:rPr>
          <w:rFonts w:cstheme="minorHAnsi"/>
        </w:rPr>
        <w:t xml:space="preserve"> </w:t>
      </w:r>
      <w:r w:rsidR="009A7D83" w:rsidRPr="007227D4">
        <w:rPr>
          <w:rFonts w:cstheme="minorHAnsi"/>
        </w:rPr>
        <w:t xml:space="preserve">The HLPE report </w:t>
      </w:r>
      <w:r w:rsidR="008D0B65" w:rsidRPr="007227D4">
        <w:rPr>
          <w:rFonts w:cstheme="minorHAnsi"/>
        </w:rPr>
        <w:t xml:space="preserve">therefore would benefit from </w:t>
      </w:r>
      <w:r w:rsidR="00F84A30" w:rsidRPr="007227D4">
        <w:rPr>
          <w:rFonts w:cstheme="minorHAnsi"/>
        </w:rPr>
        <w:t>also includ</w:t>
      </w:r>
      <w:r w:rsidR="008D0B65" w:rsidRPr="007227D4">
        <w:rPr>
          <w:rFonts w:cstheme="minorHAnsi"/>
        </w:rPr>
        <w:t>ing</w:t>
      </w:r>
      <w:r w:rsidR="00F84A30" w:rsidRPr="007227D4">
        <w:rPr>
          <w:rFonts w:cstheme="minorHAnsi"/>
        </w:rPr>
        <w:t xml:space="preserve"> </w:t>
      </w:r>
      <w:r w:rsidR="00A2323E" w:rsidRPr="007227D4">
        <w:rPr>
          <w:rFonts w:cstheme="minorHAnsi"/>
        </w:rPr>
        <w:t xml:space="preserve">and </w:t>
      </w:r>
      <w:r w:rsidR="00430F27" w:rsidRPr="007227D4">
        <w:rPr>
          <w:rFonts w:cstheme="minorHAnsi"/>
        </w:rPr>
        <w:t>address</w:t>
      </w:r>
      <w:r w:rsidR="008D0B65" w:rsidRPr="007227D4">
        <w:rPr>
          <w:rFonts w:cstheme="minorHAnsi"/>
        </w:rPr>
        <w:t>ing</w:t>
      </w:r>
      <w:r w:rsidR="00430F27" w:rsidRPr="007227D4">
        <w:rPr>
          <w:rFonts w:cstheme="minorHAnsi"/>
        </w:rPr>
        <w:t xml:space="preserve"> </w:t>
      </w:r>
      <w:r w:rsidR="004313F6" w:rsidRPr="007227D4">
        <w:rPr>
          <w:rFonts w:cstheme="minorHAnsi"/>
        </w:rPr>
        <w:t>the importance of a diversified food production that enables healthy diet</w:t>
      </w:r>
      <w:r w:rsidRPr="007227D4">
        <w:rPr>
          <w:rFonts w:cstheme="minorHAnsi"/>
        </w:rPr>
        <w:t>s for food security, improved nutrition and health outcomes.</w:t>
      </w:r>
      <w:r w:rsidR="009E3D50" w:rsidRPr="007227D4">
        <w:rPr>
          <w:rFonts w:cstheme="minorHAnsi"/>
        </w:rPr>
        <w:t xml:space="preserve"> </w:t>
      </w:r>
    </w:p>
    <w:p w:rsidR="009A7D83" w:rsidRPr="007227D4" w:rsidRDefault="009A7D83" w:rsidP="00B73525">
      <w:pPr>
        <w:pStyle w:val="NoSpacing"/>
        <w:rPr>
          <w:rFonts w:cstheme="minorHAnsi"/>
        </w:rPr>
      </w:pPr>
    </w:p>
    <w:p w:rsidR="004313F6" w:rsidRPr="007227D4" w:rsidRDefault="004313F6" w:rsidP="004313F6">
      <w:pPr>
        <w:pStyle w:val="NoSpacing"/>
        <w:rPr>
          <w:rFonts w:cstheme="minorHAnsi"/>
        </w:rPr>
      </w:pPr>
      <w:r w:rsidRPr="007227D4">
        <w:rPr>
          <w:rFonts w:cstheme="minorHAnsi"/>
        </w:rPr>
        <w:t xml:space="preserve">A healthy diet helps protect against malnutrition in all its forms, as well as noncommunicable diseases (NCDs), including diabetes, heart disease, stroke and cancer. Unhealthy diets are among the leading causes of risk of disease and premature mortality. </w:t>
      </w:r>
    </w:p>
    <w:p w:rsidR="004313F6" w:rsidRPr="007227D4" w:rsidRDefault="004313F6" w:rsidP="004313F6">
      <w:pPr>
        <w:pStyle w:val="NoSpacing"/>
        <w:rPr>
          <w:rFonts w:cstheme="minorHAnsi"/>
        </w:rPr>
      </w:pPr>
    </w:p>
    <w:p w:rsidR="004313F6" w:rsidRPr="007227D4" w:rsidRDefault="004313F6" w:rsidP="004313F6">
      <w:pPr>
        <w:pStyle w:val="NoSpacing"/>
        <w:rPr>
          <w:rFonts w:cstheme="minorHAnsi"/>
        </w:rPr>
      </w:pPr>
      <w:r w:rsidRPr="007227D4">
        <w:rPr>
          <w:rFonts w:cstheme="minorHAnsi"/>
        </w:rPr>
        <w:t xml:space="preserve">Today’s human diets evolved over time, being influenced by many factors and complex interactions driven by increased urbanization, changes in lifestyle and the evolution of food systems that affect the availability and affordability of healthy foods, influence preferences, beliefs and cultural traditions, as well as geographical, environmental, social and economic factors </w:t>
      </w:r>
      <w:r w:rsidR="00C61353" w:rsidRPr="007227D4">
        <w:rPr>
          <w:rFonts w:cstheme="minorHAnsi"/>
        </w:rPr>
        <w:t xml:space="preserve">that </w:t>
      </w:r>
      <w:r w:rsidRPr="007227D4">
        <w:rPr>
          <w:rFonts w:cstheme="minorHAnsi"/>
        </w:rPr>
        <w:t xml:space="preserve">all interact in a complex manner </w:t>
      </w:r>
      <w:r w:rsidR="00C61353" w:rsidRPr="007227D4">
        <w:rPr>
          <w:rFonts w:cstheme="minorHAnsi"/>
        </w:rPr>
        <w:t>and</w:t>
      </w:r>
      <w:r w:rsidRPr="007227D4">
        <w:rPr>
          <w:rFonts w:cstheme="minorHAnsi"/>
        </w:rPr>
        <w:t xml:space="preserve"> shape individual dietary patterns. </w:t>
      </w:r>
    </w:p>
    <w:p w:rsidR="004313F6" w:rsidRPr="007227D4" w:rsidRDefault="004313F6" w:rsidP="004313F6">
      <w:pPr>
        <w:pStyle w:val="NoSpacing"/>
        <w:rPr>
          <w:rFonts w:cstheme="minorHAnsi"/>
        </w:rPr>
      </w:pPr>
    </w:p>
    <w:p w:rsidR="004313F6" w:rsidRPr="007227D4" w:rsidRDefault="004313F6" w:rsidP="004313F6">
      <w:pPr>
        <w:pStyle w:val="NoSpacing"/>
        <w:rPr>
          <w:rFonts w:cstheme="minorHAnsi"/>
        </w:rPr>
      </w:pPr>
      <w:r w:rsidRPr="007227D4">
        <w:rPr>
          <w:rFonts w:cstheme="minorHAnsi"/>
        </w:rPr>
        <w:lastRenderedPageBreak/>
        <w:t>Therefore, promoting a diversified</w:t>
      </w:r>
      <w:r w:rsidR="00CB777D" w:rsidRPr="007227D4">
        <w:rPr>
          <w:rFonts w:cstheme="minorHAnsi"/>
        </w:rPr>
        <w:t xml:space="preserve"> food production </w:t>
      </w:r>
      <w:r w:rsidR="00CF3F8B" w:rsidRPr="007227D4">
        <w:rPr>
          <w:rFonts w:cstheme="minorHAnsi"/>
        </w:rPr>
        <w:t>enabling</w:t>
      </w:r>
      <w:r w:rsidRPr="007227D4">
        <w:rPr>
          <w:rFonts w:cstheme="minorHAnsi"/>
        </w:rPr>
        <w:t xml:space="preserve"> balanced and healthy </w:t>
      </w:r>
      <w:proofErr w:type="gramStart"/>
      <w:r w:rsidRPr="007227D4">
        <w:rPr>
          <w:rFonts w:cstheme="minorHAnsi"/>
        </w:rPr>
        <w:t>diet</w:t>
      </w:r>
      <w:r w:rsidR="00CB777D" w:rsidRPr="007227D4">
        <w:rPr>
          <w:rFonts w:cstheme="minorHAnsi"/>
        </w:rPr>
        <w:t>s</w:t>
      </w:r>
      <w:r w:rsidRPr="007227D4">
        <w:rPr>
          <w:rFonts w:cstheme="minorHAnsi"/>
        </w:rPr>
        <w:t>,</w:t>
      </w:r>
      <w:proofErr w:type="gramEnd"/>
      <w:r w:rsidRPr="007227D4">
        <w:rPr>
          <w:rFonts w:cstheme="minorHAnsi"/>
        </w:rPr>
        <w:t xml:space="preserve"> </w:t>
      </w:r>
      <w:r w:rsidR="00CB777D" w:rsidRPr="007227D4">
        <w:rPr>
          <w:rFonts w:cstheme="minorHAnsi"/>
        </w:rPr>
        <w:t xml:space="preserve">is </w:t>
      </w:r>
      <w:r w:rsidR="008D0B65" w:rsidRPr="007227D4">
        <w:rPr>
          <w:rFonts w:cstheme="minorHAnsi"/>
        </w:rPr>
        <w:t xml:space="preserve">an </w:t>
      </w:r>
      <w:r w:rsidR="00CB777D" w:rsidRPr="007227D4">
        <w:rPr>
          <w:rFonts w:cstheme="minorHAnsi"/>
        </w:rPr>
        <w:t xml:space="preserve">essential </w:t>
      </w:r>
      <w:r w:rsidR="008D0B65" w:rsidRPr="007227D4">
        <w:rPr>
          <w:rFonts w:cstheme="minorHAnsi"/>
        </w:rPr>
        <w:t xml:space="preserve">base </w:t>
      </w:r>
      <w:r w:rsidR="00CB777D" w:rsidRPr="007227D4">
        <w:rPr>
          <w:rFonts w:cstheme="minorHAnsi"/>
        </w:rPr>
        <w:t xml:space="preserve">to reach the global targets of the World Health Assembly, the UN Decade of Action on Nutrition and the 2030 Agenda. This </w:t>
      </w:r>
      <w:r w:rsidRPr="007227D4">
        <w:rPr>
          <w:rFonts w:cstheme="minorHAnsi"/>
        </w:rPr>
        <w:t>requires involvement across multiple sectors and stakeholders, including government, and the public and private sector.</w:t>
      </w:r>
      <w:r w:rsidR="00CB777D" w:rsidRPr="007227D4">
        <w:rPr>
          <w:rFonts w:cstheme="minorHAnsi"/>
        </w:rPr>
        <w:t xml:space="preserve"> </w:t>
      </w:r>
    </w:p>
    <w:p w:rsidR="004313F6" w:rsidRPr="007227D4" w:rsidRDefault="004313F6" w:rsidP="004313F6">
      <w:pPr>
        <w:pStyle w:val="NoSpacing"/>
        <w:rPr>
          <w:rFonts w:cstheme="minorHAnsi"/>
        </w:rPr>
      </w:pPr>
    </w:p>
    <w:p w:rsidR="009A7D83" w:rsidRPr="007227D4" w:rsidRDefault="004313F6" w:rsidP="00B73525">
      <w:pPr>
        <w:pStyle w:val="NoSpacing"/>
        <w:rPr>
          <w:rFonts w:cstheme="minorHAnsi"/>
        </w:rPr>
      </w:pPr>
      <w:r w:rsidRPr="007227D4">
        <w:rPr>
          <w:rFonts w:cstheme="minorHAnsi"/>
        </w:rPr>
        <w:t>Governments have a central role in creating a</w:t>
      </w:r>
      <w:r w:rsidR="005362DA" w:rsidRPr="007227D4">
        <w:rPr>
          <w:rFonts w:cstheme="minorHAnsi"/>
        </w:rPr>
        <w:t xml:space="preserve"> </w:t>
      </w:r>
      <w:proofErr w:type="gramStart"/>
      <w:r w:rsidR="00D11325" w:rsidRPr="007227D4">
        <w:rPr>
          <w:rFonts w:cstheme="minorHAnsi"/>
        </w:rPr>
        <w:t>conducive</w:t>
      </w:r>
      <w:proofErr w:type="gramEnd"/>
      <w:r w:rsidR="005362DA" w:rsidRPr="007227D4">
        <w:rPr>
          <w:rFonts w:cstheme="minorHAnsi"/>
        </w:rPr>
        <w:t xml:space="preserve"> </w:t>
      </w:r>
      <w:r w:rsidRPr="007227D4">
        <w:rPr>
          <w:rFonts w:cstheme="minorHAnsi"/>
        </w:rPr>
        <w:t xml:space="preserve">environment that enables people to </w:t>
      </w:r>
      <w:r w:rsidR="005362DA" w:rsidRPr="007227D4">
        <w:rPr>
          <w:rFonts w:cstheme="minorHAnsi"/>
        </w:rPr>
        <w:t xml:space="preserve">make the </w:t>
      </w:r>
      <w:r w:rsidR="00D11325" w:rsidRPr="007227D4">
        <w:rPr>
          <w:rFonts w:cstheme="minorHAnsi"/>
        </w:rPr>
        <w:t>right</w:t>
      </w:r>
      <w:r w:rsidR="005362DA" w:rsidRPr="007227D4">
        <w:rPr>
          <w:rFonts w:cstheme="minorHAnsi"/>
        </w:rPr>
        <w:t xml:space="preserve"> food choice </w:t>
      </w:r>
      <w:r w:rsidR="00D11325" w:rsidRPr="007227D4">
        <w:rPr>
          <w:rFonts w:cstheme="minorHAnsi"/>
        </w:rPr>
        <w:t>for</w:t>
      </w:r>
      <w:r w:rsidR="005362DA" w:rsidRPr="007227D4">
        <w:rPr>
          <w:rFonts w:cstheme="minorHAnsi"/>
        </w:rPr>
        <w:t xml:space="preserve"> healthy dietary practices possible</w:t>
      </w:r>
      <w:r w:rsidRPr="007227D4">
        <w:rPr>
          <w:rFonts w:cstheme="minorHAnsi"/>
        </w:rPr>
        <w:t xml:space="preserve">. Effective actions by policy-makers </w:t>
      </w:r>
      <w:r w:rsidR="00D11325" w:rsidRPr="007227D4">
        <w:rPr>
          <w:rFonts w:cstheme="minorHAnsi"/>
        </w:rPr>
        <w:t>include c</w:t>
      </w:r>
      <w:r w:rsidRPr="007227D4">
        <w:rPr>
          <w:rFonts w:cstheme="minorHAnsi"/>
        </w:rPr>
        <w:t>reating coherence in national policies and investment plans, including trade, food and agricultural policies, to promote a healthy</w:t>
      </w:r>
      <w:r w:rsidR="00D11325" w:rsidRPr="007227D4">
        <w:rPr>
          <w:rFonts w:cstheme="minorHAnsi"/>
        </w:rPr>
        <w:t xml:space="preserve"> diet and protect public health. </w:t>
      </w:r>
      <w:r w:rsidR="00CF3F8B" w:rsidRPr="007227D4">
        <w:rPr>
          <w:rFonts w:cstheme="minorHAnsi"/>
        </w:rPr>
        <w:t xml:space="preserve">This needs to include </w:t>
      </w:r>
      <w:r w:rsidRPr="007227D4">
        <w:rPr>
          <w:rFonts w:cstheme="minorHAnsi"/>
        </w:rPr>
        <w:t>increase</w:t>
      </w:r>
      <w:r w:rsidR="00D11325" w:rsidRPr="007227D4">
        <w:rPr>
          <w:rFonts w:cstheme="minorHAnsi"/>
        </w:rPr>
        <w:t>d</w:t>
      </w:r>
      <w:r w:rsidRPr="007227D4">
        <w:rPr>
          <w:rFonts w:cstheme="minorHAnsi"/>
        </w:rPr>
        <w:t xml:space="preserve"> incentives for producers </w:t>
      </w:r>
      <w:r w:rsidR="00D11325" w:rsidRPr="007227D4">
        <w:rPr>
          <w:rFonts w:cstheme="minorHAnsi"/>
        </w:rPr>
        <w:t xml:space="preserve">to diversify the food production </w:t>
      </w:r>
      <w:r w:rsidR="00F91BCA" w:rsidRPr="007227D4">
        <w:rPr>
          <w:rFonts w:cstheme="minorHAnsi"/>
        </w:rPr>
        <w:t xml:space="preserve">in a sustainable environmental friendly way, </w:t>
      </w:r>
      <w:r w:rsidR="00D11325" w:rsidRPr="007227D4">
        <w:rPr>
          <w:rFonts w:cstheme="minorHAnsi"/>
        </w:rPr>
        <w:t xml:space="preserve">and increase the production and retail of </w:t>
      </w:r>
      <w:r w:rsidR="00CF3F8B" w:rsidRPr="007227D4">
        <w:rPr>
          <w:rFonts w:cstheme="minorHAnsi"/>
        </w:rPr>
        <w:t xml:space="preserve">more diverse </w:t>
      </w:r>
      <w:r w:rsidRPr="007227D4">
        <w:rPr>
          <w:rFonts w:cstheme="minorHAnsi"/>
        </w:rPr>
        <w:t xml:space="preserve">fresh </w:t>
      </w:r>
      <w:r w:rsidR="00D11325" w:rsidRPr="007227D4">
        <w:rPr>
          <w:rFonts w:cstheme="minorHAnsi"/>
        </w:rPr>
        <w:t>products like fruits and vegetables</w:t>
      </w:r>
      <w:r w:rsidR="00F91BCA" w:rsidRPr="007227D4">
        <w:rPr>
          <w:rFonts w:cstheme="minorHAnsi"/>
        </w:rPr>
        <w:t>, but also legumes, nuts</w:t>
      </w:r>
      <w:r w:rsidR="00D11325" w:rsidRPr="007227D4">
        <w:rPr>
          <w:rFonts w:cstheme="minorHAnsi"/>
        </w:rPr>
        <w:t xml:space="preserve"> and others that are part of a healthy diet. </w:t>
      </w:r>
      <w:r w:rsidR="00F91BCA" w:rsidRPr="007227D4">
        <w:rPr>
          <w:rFonts w:cstheme="minorHAnsi"/>
        </w:rPr>
        <w:t>At national level countries are developing food based dietary guidelines that should be guiding also the food production side for more a</w:t>
      </w:r>
      <w:r w:rsidR="003E6CA3" w:rsidRPr="007227D4">
        <w:rPr>
          <w:rFonts w:cstheme="minorHAnsi"/>
        </w:rPr>
        <w:t xml:space="preserve">lignment with the food that is needed to support healthy dietary choices and improved nutrition for health outcomes. </w:t>
      </w:r>
    </w:p>
    <w:p w:rsidR="003E6CA3" w:rsidRPr="007227D4" w:rsidRDefault="003E6CA3" w:rsidP="00B73525">
      <w:pPr>
        <w:pStyle w:val="NoSpacing"/>
        <w:rPr>
          <w:rFonts w:cstheme="minorHAnsi"/>
        </w:rPr>
      </w:pPr>
    </w:p>
    <w:p w:rsidR="00B73525" w:rsidRPr="007227D4" w:rsidRDefault="00DE3050" w:rsidP="00B73525">
      <w:pPr>
        <w:pStyle w:val="NoSpacing"/>
        <w:rPr>
          <w:rFonts w:cstheme="minorHAnsi"/>
        </w:rPr>
      </w:pPr>
      <w:r w:rsidRPr="007227D4">
        <w:rPr>
          <w:rFonts w:cstheme="minorHAnsi"/>
        </w:rPr>
        <w:t xml:space="preserve">The HLPE report should </w:t>
      </w:r>
      <w:r w:rsidR="00B73525" w:rsidRPr="007227D4">
        <w:rPr>
          <w:rFonts w:cstheme="minorHAnsi"/>
        </w:rPr>
        <w:t xml:space="preserve">very clearly address the qualitative production </w:t>
      </w:r>
      <w:r w:rsidR="00320157" w:rsidRPr="007227D4">
        <w:rPr>
          <w:rFonts w:cstheme="minorHAnsi"/>
        </w:rPr>
        <w:t xml:space="preserve">issues </w:t>
      </w:r>
      <w:r w:rsidR="00B73525" w:rsidRPr="007227D4">
        <w:rPr>
          <w:rFonts w:cstheme="minorHAnsi"/>
        </w:rPr>
        <w:t>of food com</w:t>
      </w:r>
      <w:r w:rsidRPr="007227D4">
        <w:rPr>
          <w:rFonts w:cstheme="minorHAnsi"/>
        </w:rPr>
        <w:t xml:space="preserve">modities and foods under a sustainability </w:t>
      </w:r>
      <w:r w:rsidR="008D0B65" w:rsidRPr="007227D4">
        <w:rPr>
          <w:rFonts w:cstheme="minorHAnsi"/>
        </w:rPr>
        <w:t xml:space="preserve">and human health </w:t>
      </w:r>
      <w:r w:rsidRPr="007227D4">
        <w:rPr>
          <w:rFonts w:cstheme="minorHAnsi"/>
        </w:rPr>
        <w:t xml:space="preserve">lens. </w:t>
      </w:r>
      <w:r w:rsidR="00320157" w:rsidRPr="007227D4">
        <w:rPr>
          <w:rFonts w:cstheme="minorHAnsi"/>
        </w:rPr>
        <w:t>In this way, t</w:t>
      </w:r>
      <w:r w:rsidR="00B73525" w:rsidRPr="007227D4">
        <w:rPr>
          <w:rFonts w:cstheme="minorHAnsi"/>
        </w:rPr>
        <w:t xml:space="preserve">he report </w:t>
      </w:r>
      <w:r w:rsidR="008D0B65" w:rsidRPr="007227D4">
        <w:rPr>
          <w:rFonts w:cstheme="minorHAnsi"/>
        </w:rPr>
        <w:t>could</w:t>
      </w:r>
      <w:r w:rsidR="00B73525" w:rsidRPr="007227D4">
        <w:rPr>
          <w:rFonts w:cstheme="minorHAnsi"/>
        </w:rPr>
        <w:t xml:space="preserve"> provide a substantial contribution to the understanding of the protective benefits of agroecological and other approaches to increase </w:t>
      </w:r>
      <w:r w:rsidRPr="007227D4">
        <w:rPr>
          <w:rFonts w:cstheme="minorHAnsi"/>
        </w:rPr>
        <w:t xml:space="preserve">production diversity and </w:t>
      </w:r>
      <w:r w:rsidR="00B73525" w:rsidRPr="007227D4">
        <w:rPr>
          <w:rFonts w:cstheme="minorHAnsi"/>
        </w:rPr>
        <w:t xml:space="preserve">dietary diversity and therefore supporting the access to and availability of food that enables healthy diets sustainably produced, for improved nutrition and health outcomes. </w:t>
      </w:r>
    </w:p>
    <w:p w:rsidR="00017BB8" w:rsidRPr="007227D4" w:rsidRDefault="00017BB8" w:rsidP="00B73525">
      <w:pPr>
        <w:pStyle w:val="NoSpacing"/>
        <w:rPr>
          <w:rFonts w:cstheme="minorHAnsi"/>
        </w:rPr>
      </w:pPr>
    </w:p>
    <w:p w:rsidR="00017BB8" w:rsidRPr="00B50D87" w:rsidRDefault="00017BB8" w:rsidP="00B73525">
      <w:pPr>
        <w:pStyle w:val="NoSpacing"/>
        <w:rPr>
          <w:rFonts w:cstheme="minorHAnsi"/>
        </w:rPr>
      </w:pPr>
      <w:r w:rsidRPr="007227D4">
        <w:rPr>
          <w:rFonts w:cstheme="minorHAnsi"/>
        </w:rPr>
        <w:t xml:space="preserve">Reference </w:t>
      </w:r>
      <w:r w:rsidR="00DE3050" w:rsidRPr="007227D4">
        <w:rPr>
          <w:rFonts w:cstheme="minorHAnsi"/>
        </w:rPr>
        <w:t xml:space="preserve">is made </w:t>
      </w:r>
      <w:r w:rsidRPr="007227D4">
        <w:rPr>
          <w:rFonts w:cstheme="minorHAnsi"/>
        </w:rPr>
        <w:t xml:space="preserve">to </w:t>
      </w:r>
      <w:r w:rsidR="00DE3050" w:rsidRPr="007227D4">
        <w:rPr>
          <w:rFonts w:cstheme="minorHAnsi"/>
        </w:rPr>
        <w:t>the outcomes of the Second International Conference on Nutrition (</w:t>
      </w:r>
      <w:r w:rsidRPr="007227D4">
        <w:rPr>
          <w:rFonts w:cstheme="minorHAnsi"/>
        </w:rPr>
        <w:t>ICN2</w:t>
      </w:r>
      <w:r w:rsidR="00DE3050" w:rsidRPr="007227D4">
        <w:rPr>
          <w:rFonts w:cstheme="minorHAnsi"/>
        </w:rPr>
        <w:t>)</w:t>
      </w:r>
      <w:r w:rsidRPr="007227D4">
        <w:rPr>
          <w:rFonts w:cstheme="minorHAnsi"/>
        </w:rPr>
        <w:t xml:space="preserve"> and </w:t>
      </w:r>
      <w:r w:rsidR="00DE3050" w:rsidRPr="007227D4">
        <w:rPr>
          <w:rFonts w:cstheme="minorHAnsi"/>
        </w:rPr>
        <w:t xml:space="preserve">the related recommendations in its Framework for Action. </w:t>
      </w:r>
      <w:r w:rsidRPr="007227D4">
        <w:rPr>
          <w:rFonts w:cstheme="minorHAnsi"/>
        </w:rPr>
        <w:t xml:space="preserve">Reference </w:t>
      </w:r>
      <w:r w:rsidR="00DE3050" w:rsidRPr="007227D4">
        <w:rPr>
          <w:rFonts w:cstheme="minorHAnsi"/>
        </w:rPr>
        <w:t xml:space="preserve">is also made </w:t>
      </w:r>
      <w:r w:rsidRPr="007227D4">
        <w:rPr>
          <w:rFonts w:cstheme="minorHAnsi"/>
        </w:rPr>
        <w:t xml:space="preserve">to the UN Decade of Action on Nutrition and </w:t>
      </w:r>
      <w:r w:rsidR="00DE3050" w:rsidRPr="007227D4">
        <w:rPr>
          <w:rFonts w:cstheme="minorHAnsi"/>
        </w:rPr>
        <w:t>its</w:t>
      </w:r>
      <w:r w:rsidRPr="007227D4">
        <w:rPr>
          <w:rFonts w:cstheme="minorHAnsi"/>
        </w:rPr>
        <w:t xml:space="preserve"> work programme</w:t>
      </w:r>
      <w:r w:rsidR="00DE3050" w:rsidRPr="007227D4">
        <w:rPr>
          <w:rFonts w:cstheme="minorHAnsi"/>
        </w:rPr>
        <w:t xml:space="preserve"> action area 1 on Sustainable resilient food systems for healthy diets.</w:t>
      </w:r>
      <w:r w:rsidR="00DE3050" w:rsidRPr="00B50D87">
        <w:rPr>
          <w:rFonts w:cstheme="minorHAnsi"/>
        </w:rPr>
        <w:t xml:space="preserve"> </w:t>
      </w:r>
    </w:p>
    <w:p w:rsidR="00B73525" w:rsidRDefault="00B73525" w:rsidP="00B73525">
      <w:pPr>
        <w:pStyle w:val="NoSpacing"/>
        <w:rPr>
          <w:rFonts w:cstheme="minorHAnsi"/>
        </w:rPr>
      </w:pPr>
    </w:p>
    <w:p w:rsidR="007227D4" w:rsidRDefault="007227D4" w:rsidP="00B73525">
      <w:pPr>
        <w:pStyle w:val="NoSpacing"/>
        <w:rPr>
          <w:rFonts w:cstheme="minorHAnsi"/>
        </w:rPr>
      </w:pPr>
    </w:p>
    <w:p w:rsidR="00854658" w:rsidRDefault="00854658" w:rsidP="00854658">
      <w:pPr>
        <w:spacing w:after="0" w:line="240" w:lineRule="auto"/>
        <w:rPr>
          <w:rFonts w:eastAsiaTheme="minorHAnsi"/>
          <w:lang w:val="en-GB" w:eastAsia="en-US"/>
        </w:rPr>
      </w:pPr>
      <w:r>
        <w:rPr>
          <w:rFonts w:eastAsiaTheme="minorHAnsi"/>
          <w:lang w:val="en-GB" w:eastAsia="en-US"/>
        </w:rPr>
        <w:t>References</w:t>
      </w:r>
    </w:p>
    <w:p w:rsidR="00854658" w:rsidRPr="00854658" w:rsidRDefault="00854658" w:rsidP="00854658">
      <w:pPr>
        <w:spacing w:after="0" w:line="240" w:lineRule="auto"/>
        <w:rPr>
          <w:rFonts w:eastAsiaTheme="minorHAnsi"/>
          <w:lang w:val="en-GB" w:eastAsia="en-US"/>
        </w:rPr>
      </w:pPr>
    </w:p>
    <w:p w:rsidR="00854658" w:rsidRPr="00854658" w:rsidRDefault="00854658" w:rsidP="00854658">
      <w:pPr>
        <w:spacing w:after="0" w:line="240" w:lineRule="auto"/>
        <w:rPr>
          <w:rFonts w:eastAsiaTheme="minorHAnsi"/>
          <w:lang w:val="en-GB" w:eastAsia="en-US"/>
        </w:rPr>
      </w:pPr>
      <w:r w:rsidRPr="00854658">
        <w:rPr>
          <w:rFonts w:eastAsiaTheme="minorHAnsi"/>
          <w:lang w:val="en-GB" w:eastAsia="en-US"/>
        </w:rPr>
        <w:t xml:space="preserve">Institute for Health Metrics and Evaluation (IHME). Global, regional, and national comparative risk assessment of 84 </w:t>
      </w:r>
      <w:proofErr w:type="spellStart"/>
      <w:r w:rsidRPr="00854658">
        <w:rPr>
          <w:rFonts w:eastAsiaTheme="minorHAnsi"/>
          <w:lang w:val="en-GB" w:eastAsia="en-US"/>
        </w:rPr>
        <w:t>behavioral</w:t>
      </w:r>
      <w:proofErr w:type="spellEnd"/>
      <w:r w:rsidRPr="00854658">
        <w:rPr>
          <w:rFonts w:eastAsiaTheme="minorHAnsi"/>
          <w:lang w:val="en-GB" w:eastAsia="en-US"/>
        </w:rPr>
        <w:t xml:space="preserve">, environmental and occupational, and metabolic risks or clusters of risks, 1990–2016: a systematic analysis for the Global Burden of Disease Study 2016. </w:t>
      </w:r>
      <w:proofErr w:type="gramStart"/>
      <w:r w:rsidRPr="00854658">
        <w:rPr>
          <w:rFonts w:eastAsiaTheme="minorHAnsi"/>
          <w:lang w:val="en-GB" w:eastAsia="en-US"/>
        </w:rPr>
        <w:t>Published in The Lancet, September 2017.</w:t>
      </w:r>
      <w:proofErr w:type="gramEnd"/>
      <w:r w:rsidRPr="00854658">
        <w:rPr>
          <w:rFonts w:eastAsiaTheme="minorHAnsi"/>
          <w:lang w:val="en-GB" w:eastAsia="en-US"/>
        </w:rPr>
        <w:t xml:space="preserve"> </w:t>
      </w:r>
    </w:p>
    <w:p w:rsidR="00854658" w:rsidRPr="00854658" w:rsidRDefault="00854658" w:rsidP="00854658">
      <w:pPr>
        <w:spacing w:after="0" w:line="240" w:lineRule="auto"/>
        <w:rPr>
          <w:rFonts w:eastAsiaTheme="minorHAnsi"/>
          <w:lang w:val="en-GB" w:eastAsia="en-US"/>
        </w:rPr>
      </w:pPr>
    </w:p>
    <w:p w:rsidR="00854658" w:rsidRPr="00854658" w:rsidRDefault="00854658" w:rsidP="00854658">
      <w:pPr>
        <w:spacing w:after="0" w:line="240" w:lineRule="auto"/>
        <w:rPr>
          <w:rFonts w:eastAsiaTheme="minorHAnsi"/>
          <w:lang w:val="en-GB" w:eastAsia="en-US"/>
        </w:rPr>
      </w:pPr>
      <w:proofErr w:type="gramStart"/>
      <w:r w:rsidRPr="00854658">
        <w:rPr>
          <w:rFonts w:eastAsiaTheme="minorHAnsi"/>
          <w:lang w:val="en-GB" w:eastAsia="en-US"/>
        </w:rPr>
        <w:t>United Nations Decade of Action on Nutrition.</w:t>
      </w:r>
      <w:proofErr w:type="gramEnd"/>
      <w:r w:rsidRPr="00854658">
        <w:rPr>
          <w:rFonts w:eastAsiaTheme="minorHAnsi"/>
          <w:lang w:val="en-GB" w:eastAsia="en-US"/>
        </w:rPr>
        <w:t xml:space="preserve"> In: Seventieth session of the United Nations General Assembly, New York, 15–28 September 2015. Agenda item 15 (A70/L.42; </w:t>
      </w:r>
      <w:hyperlink r:id="rId6" w:history="1">
        <w:r w:rsidRPr="00854658">
          <w:rPr>
            <w:rFonts w:eastAsiaTheme="minorHAnsi"/>
            <w:color w:val="0000FF" w:themeColor="hyperlink"/>
            <w:u w:val="single"/>
            <w:lang w:val="en-GB" w:eastAsia="en-US"/>
          </w:rPr>
          <w:t>http://www.un.org/ga/search/view_doc.asp?symbol=A/70/L.42</w:t>
        </w:r>
      </w:hyperlink>
      <w:r w:rsidRPr="00854658">
        <w:rPr>
          <w:rFonts w:eastAsiaTheme="minorHAnsi"/>
          <w:lang w:val="en-GB" w:eastAsia="en-US"/>
        </w:rPr>
        <w:t>).</w:t>
      </w:r>
    </w:p>
    <w:p w:rsidR="00854658" w:rsidRPr="00854658" w:rsidRDefault="00854658" w:rsidP="00854658">
      <w:pPr>
        <w:spacing w:after="0" w:line="240" w:lineRule="auto"/>
        <w:rPr>
          <w:rFonts w:eastAsiaTheme="minorHAnsi"/>
          <w:lang w:val="en-GB" w:eastAsia="en-US"/>
        </w:rPr>
      </w:pPr>
    </w:p>
    <w:p w:rsidR="00854658" w:rsidRPr="00854658" w:rsidRDefault="00854658" w:rsidP="00854658">
      <w:pPr>
        <w:spacing w:after="0" w:line="240" w:lineRule="auto"/>
        <w:rPr>
          <w:rFonts w:eastAsiaTheme="minorHAnsi"/>
          <w:lang w:val="en-GB" w:eastAsia="en-US"/>
        </w:rPr>
      </w:pPr>
      <w:proofErr w:type="gramStart"/>
      <w:r w:rsidRPr="00854658">
        <w:rPr>
          <w:rFonts w:eastAsiaTheme="minorHAnsi"/>
          <w:lang w:val="en-GB" w:eastAsia="en-US"/>
        </w:rPr>
        <w:t>Food and Agriculture Organization of the United Nations and World Health Organization.</w:t>
      </w:r>
      <w:proofErr w:type="gramEnd"/>
      <w:r w:rsidRPr="00854658">
        <w:rPr>
          <w:rFonts w:eastAsiaTheme="minorHAnsi"/>
          <w:lang w:val="en-GB" w:eastAsia="en-US"/>
        </w:rPr>
        <w:t xml:space="preserve"> Work Programme of the UN Decade of Action on Nutrition, 2016-2025 (</w:t>
      </w:r>
      <w:hyperlink r:id="rId7" w:history="1">
        <w:r w:rsidRPr="00854658">
          <w:rPr>
            <w:rFonts w:eastAsiaTheme="minorHAnsi"/>
            <w:color w:val="0000FF" w:themeColor="hyperlink"/>
            <w:u w:val="single"/>
            <w:lang w:val="en-GB" w:eastAsia="en-US"/>
          </w:rPr>
          <w:t>http://www.who.int/nutrition/decade-of-action/workprogramme-2016to2025/en/</w:t>
        </w:r>
      </w:hyperlink>
      <w:r w:rsidRPr="00854658">
        <w:rPr>
          <w:rFonts w:eastAsiaTheme="minorHAnsi"/>
          <w:lang w:val="en-GB" w:eastAsia="en-US"/>
        </w:rPr>
        <w:t>).</w:t>
      </w:r>
    </w:p>
    <w:p w:rsidR="00854658" w:rsidRDefault="00854658" w:rsidP="00B73525">
      <w:pPr>
        <w:pStyle w:val="NoSpacing"/>
        <w:rPr>
          <w:rFonts w:cstheme="minorHAnsi"/>
        </w:rPr>
      </w:pPr>
    </w:p>
    <w:p w:rsidR="00854658" w:rsidRPr="00854658" w:rsidRDefault="00854658" w:rsidP="00854658">
      <w:pPr>
        <w:spacing w:after="0" w:line="240" w:lineRule="auto"/>
        <w:rPr>
          <w:rFonts w:eastAsiaTheme="minorHAnsi"/>
          <w:lang w:val="en-GB" w:eastAsia="en-US"/>
        </w:rPr>
      </w:pPr>
      <w:proofErr w:type="gramStart"/>
      <w:r w:rsidRPr="00854658">
        <w:rPr>
          <w:rFonts w:eastAsiaTheme="minorHAnsi"/>
          <w:lang w:val="en-GB" w:eastAsia="en-US"/>
        </w:rPr>
        <w:t>Food and Agriculture Organization of the United Nations and World Health Organization.</w:t>
      </w:r>
      <w:proofErr w:type="gramEnd"/>
      <w:r w:rsidRPr="00854658">
        <w:rPr>
          <w:rFonts w:eastAsiaTheme="minorHAnsi"/>
          <w:lang w:val="en-GB" w:eastAsia="en-US"/>
        </w:rPr>
        <w:t xml:space="preserve"> Second International Conference on Nutrition Conference Outcome Document: Framework for Action (</w:t>
      </w:r>
      <w:hyperlink r:id="rId8" w:history="1">
        <w:r w:rsidRPr="00854658">
          <w:rPr>
            <w:rFonts w:eastAsiaTheme="minorHAnsi"/>
            <w:color w:val="0000FF" w:themeColor="hyperlink"/>
            <w:u w:val="single"/>
            <w:lang w:val="en-GB" w:eastAsia="en-US"/>
          </w:rPr>
          <w:t>http://www.fao.org/3/a-mm215e.pdf</w:t>
        </w:r>
      </w:hyperlink>
      <w:r w:rsidRPr="00854658">
        <w:rPr>
          <w:rFonts w:eastAsiaTheme="minorHAnsi"/>
          <w:lang w:val="en-GB" w:eastAsia="en-US"/>
        </w:rPr>
        <w:t>).</w:t>
      </w:r>
    </w:p>
    <w:p w:rsidR="00854658" w:rsidRPr="00854658" w:rsidRDefault="00854658" w:rsidP="00854658">
      <w:pPr>
        <w:spacing w:after="0" w:line="240" w:lineRule="auto"/>
        <w:rPr>
          <w:rFonts w:eastAsiaTheme="minorHAnsi"/>
          <w:lang w:val="en-GB" w:eastAsia="en-US"/>
        </w:rPr>
      </w:pPr>
      <w:proofErr w:type="gramStart"/>
      <w:r w:rsidRPr="00854658">
        <w:rPr>
          <w:rFonts w:eastAsiaTheme="minorHAnsi"/>
          <w:lang w:val="en-GB" w:eastAsia="en-US"/>
        </w:rPr>
        <w:lastRenderedPageBreak/>
        <w:t>Food and Agriculture Organization of the United Nations and World Health Organization, Strengthening nutrition action.</w:t>
      </w:r>
      <w:proofErr w:type="gramEnd"/>
      <w:r w:rsidRPr="00854658">
        <w:rPr>
          <w:rFonts w:eastAsiaTheme="minorHAnsi"/>
          <w:lang w:val="en-GB" w:eastAsia="en-US"/>
        </w:rPr>
        <w:t xml:space="preserve"> A resource guide for countries based on the policy recommendations of the second international conference on nutrition. </w:t>
      </w:r>
      <w:proofErr w:type="gramStart"/>
      <w:r w:rsidRPr="00854658">
        <w:rPr>
          <w:rFonts w:eastAsiaTheme="minorHAnsi"/>
          <w:lang w:val="en-GB" w:eastAsia="en-US"/>
        </w:rPr>
        <w:t>Rome and Geneva, in press.</w:t>
      </w:r>
      <w:proofErr w:type="gramEnd"/>
      <w:r w:rsidRPr="00854658">
        <w:rPr>
          <w:rFonts w:eastAsiaTheme="minorHAnsi"/>
          <w:lang w:val="en-GB" w:eastAsia="en-US"/>
        </w:rPr>
        <w:t xml:space="preserve"> </w:t>
      </w:r>
    </w:p>
    <w:p w:rsidR="00854658" w:rsidRPr="00854658" w:rsidRDefault="00854658" w:rsidP="00854658">
      <w:pPr>
        <w:spacing w:after="0" w:line="240" w:lineRule="auto"/>
        <w:rPr>
          <w:rFonts w:eastAsiaTheme="minorHAnsi"/>
          <w:lang w:val="en-GB" w:eastAsia="en-US"/>
        </w:rPr>
      </w:pPr>
    </w:p>
    <w:p w:rsidR="00854658" w:rsidRPr="00854658" w:rsidRDefault="00854658" w:rsidP="00854658">
      <w:pPr>
        <w:spacing w:after="0" w:line="240" w:lineRule="auto"/>
        <w:rPr>
          <w:rFonts w:eastAsiaTheme="minorHAnsi"/>
          <w:lang w:val="en-GB" w:eastAsia="en-US"/>
        </w:rPr>
      </w:pPr>
      <w:r w:rsidRPr="00854658">
        <w:rPr>
          <w:rFonts w:eastAsiaTheme="minorHAnsi"/>
          <w:lang w:val="en-GB" w:eastAsia="en-US"/>
        </w:rPr>
        <w:t xml:space="preserve">WHO 2017: Double-duty Actions for Nutrition. </w:t>
      </w:r>
      <w:proofErr w:type="gramStart"/>
      <w:r w:rsidRPr="00854658">
        <w:rPr>
          <w:rFonts w:eastAsiaTheme="minorHAnsi"/>
          <w:lang w:val="en-GB" w:eastAsia="en-US"/>
        </w:rPr>
        <w:t>Policy brief.</w:t>
      </w:r>
      <w:proofErr w:type="gramEnd"/>
      <w:r w:rsidRPr="00854658">
        <w:rPr>
          <w:rFonts w:eastAsiaTheme="minorHAnsi"/>
          <w:lang w:val="en-GB" w:eastAsia="en-US"/>
        </w:rPr>
        <w:t xml:space="preserve"> Geneva 2017. </w:t>
      </w:r>
      <w:hyperlink r:id="rId9" w:history="1">
        <w:r w:rsidRPr="00854658">
          <w:rPr>
            <w:rFonts w:eastAsiaTheme="minorHAnsi"/>
            <w:color w:val="0000FF" w:themeColor="hyperlink"/>
            <w:u w:val="single"/>
            <w:lang w:val="en-GB" w:eastAsia="en-US"/>
          </w:rPr>
          <w:t>http://www.who.int/nutrition/publications/double-duty-actions-nutrition-policybrief/en/</w:t>
        </w:r>
      </w:hyperlink>
      <w:r w:rsidRPr="00854658">
        <w:rPr>
          <w:rFonts w:eastAsiaTheme="minorHAnsi"/>
          <w:lang w:val="en-GB" w:eastAsia="en-US"/>
        </w:rPr>
        <w:t xml:space="preserve"> </w:t>
      </w:r>
    </w:p>
    <w:p w:rsidR="00854658" w:rsidRPr="00854658" w:rsidRDefault="00854658" w:rsidP="00854658">
      <w:pPr>
        <w:spacing w:after="0" w:line="240" w:lineRule="auto"/>
        <w:rPr>
          <w:rFonts w:eastAsiaTheme="minorHAnsi"/>
          <w:lang w:val="en-GB" w:eastAsia="en-US"/>
        </w:rPr>
      </w:pPr>
    </w:p>
    <w:p w:rsidR="00854658" w:rsidRDefault="00CC10CE" w:rsidP="00B73525">
      <w:pPr>
        <w:pStyle w:val="NoSpacing"/>
        <w:rPr>
          <w:rFonts w:cstheme="minorHAnsi"/>
        </w:rPr>
      </w:pPr>
      <w:r>
        <w:rPr>
          <w:rFonts w:cstheme="minorHAnsi"/>
        </w:rPr>
        <w:t xml:space="preserve">WHO 2015: Healthy diet factsheet. </w:t>
      </w:r>
      <w:hyperlink r:id="rId10" w:history="1">
        <w:r w:rsidRPr="00B90DDF">
          <w:rPr>
            <w:rStyle w:val="Hyperlink"/>
            <w:rFonts w:cstheme="minorHAnsi"/>
          </w:rPr>
          <w:t>http://www.who.int/nutrition/publications/nutrientrequirements/healthydiet_factsheet/en/</w:t>
        </w:r>
      </w:hyperlink>
      <w:r>
        <w:rPr>
          <w:rFonts w:cstheme="minorHAnsi"/>
        </w:rPr>
        <w:t xml:space="preserve"> </w:t>
      </w:r>
      <w:bookmarkStart w:id="0" w:name="_GoBack"/>
      <w:bookmarkEnd w:id="0"/>
    </w:p>
    <w:p w:rsidR="007227D4" w:rsidRPr="00B50D87" w:rsidRDefault="007227D4" w:rsidP="00B73525">
      <w:pPr>
        <w:pStyle w:val="NoSpacing"/>
        <w:rPr>
          <w:rFonts w:cstheme="minorHAnsi"/>
        </w:rPr>
      </w:pPr>
    </w:p>
    <w:sectPr w:rsidR="007227D4" w:rsidRPr="00B50D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C6804"/>
    <w:multiLevelType w:val="hybridMultilevel"/>
    <w:tmpl w:val="B3DC80A6"/>
    <w:lvl w:ilvl="0" w:tplc="61C2A79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7AF"/>
    <w:rsid w:val="00017BB8"/>
    <w:rsid w:val="0011558B"/>
    <w:rsid w:val="00117CC7"/>
    <w:rsid w:val="00264840"/>
    <w:rsid w:val="002653C4"/>
    <w:rsid w:val="00320157"/>
    <w:rsid w:val="00394AD0"/>
    <w:rsid w:val="003E6CA3"/>
    <w:rsid w:val="00430F27"/>
    <w:rsid w:val="004313F6"/>
    <w:rsid w:val="004D06AE"/>
    <w:rsid w:val="005259FF"/>
    <w:rsid w:val="005362DA"/>
    <w:rsid w:val="0057484E"/>
    <w:rsid w:val="005D7490"/>
    <w:rsid w:val="006068C6"/>
    <w:rsid w:val="006365CC"/>
    <w:rsid w:val="00657D25"/>
    <w:rsid w:val="00664483"/>
    <w:rsid w:val="00691DB9"/>
    <w:rsid w:val="006C1BC3"/>
    <w:rsid w:val="007227D4"/>
    <w:rsid w:val="0072776A"/>
    <w:rsid w:val="007C1385"/>
    <w:rsid w:val="00811CB2"/>
    <w:rsid w:val="00854658"/>
    <w:rsid w:val="008D0B65"/>
    <w:rsid w:val="008E70B8"/>
    <w:rsid w:val="009A7D83"/>
    <w:rsid w:val="009C6557"/>
    <w:rsid w:val="009E299C"/>
    <w:rsid w:val="009E3D50"/>
    <w:rsid w:val="00A2323E"/>
    <w:rsid w:val="00A40A0B"/>
    <w:rsid w:val="00AA37AF"/>
    <w:rsid w:val="00AB323C"/>
    <w:rsid w:val="00B50D87"/>
    <w:rsid w:val="00B73525"/>
    <w:rsid w:val="00C61353"/>
    <w:rsid w:val="00CB777D"/>
    <w:rsid w:val="00CC10CE"/>
    <w:rsid w:val="00CD7944"/>
    <w:rsid w:val="00CF3F8B"/>
    <w:rsid w:val="00D11325"/>
    <w:rsid w:val="00D6242E"/>
    <w:rsid w:val="00DB1002"/>
    <w:rsid w:val="00DE3050"/>
    <w:rsid w:val="00E94F0F"/>
    <w:rsid w:val="00F339B6"/>
    <w:rsid w:val="00F84A30"/>
    <w:rsid w:val="00F8556C"/>
    <w:rsid w:val="00F91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D0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C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06AE"/>
    <w:pPr>
      <w:spacing w:after="0" w:line="240" w:lineRule="auto"/>
    </w:pPr>
  </w:style>
  <w:style w:type="paragraph" w:customStyle="1" w:styleId="Default">
    <w:name w:val="Default"/>
    <w:rsid w:val="004D06A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4D06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11CB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C1385"/>
    <w:rPr>
      <w:color w:val="0000FF" w:themeColor="hyperlink"/>
      <w:u w:val="single"/>
    </w:rPr>
  </w:style>
  <w:style w:type="paragraph" w:styleId="BalloonText">
    <w:name w:val="Balloon Text"/>
    <w:basedOn w:val="Normal"/>
    <w:link w:val="BalloonTextChar"/>
    <w:uiPriority w:val="99"/>
    <w:semiHidden/>
    <w:unhideWhenUsed/>
    <w:rsid w:val="0001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B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D0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C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06AE"/>
    <w:pPr>
      <w:spacing w:after="0" w:line="240" w:lineRule="auto"/>
    </w:pPr>
  </w:style>
  <w:style w:type="paragraph" w:customStyle="1" w:styleId="Default">
    <w:name w:val="Default"/>
    <w:rsid w:val="004D06A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4D06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11CB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C1385"/>
    <w:rPr>
      <w:color w:val="0000FF" w:themeColor="hyperlink"/>
      <w:u w:val="single"/>
    </w:rPr>
  </w:style>
  <w:style w:type="paragraph" w:styleId="BalloonText">
    <w:name w:val="Balloon Text"/>
    <w:basedOn w:val="Normal"/>
    <w:link w:val="BalloonTextChar"/>
    <w:uiPriority w:val="99"/>
    <w:semiHidden/>
    <w:unhideWhenUsed/>
    <w:rsid w:val="0001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B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3/a-mm215e.pdf" TargetMode="External"/><Relationship Id="rId3" Type="http://schemas.microsoft.com/office/2007/relationships/stylesWithEffects" Target="stylesWithEffects.xml"/><Relationship Id="rId7" Type="http://schemas.openxmlformats.org/officeDocument/2006/relationships/hyperlink" Target="http://www.who.int/nutrition/decade-of-action/workprogramme-2016to2025/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org/ga/search/view_doc.asp?symbol=A/70/L.4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ho.int/nutrition/publications/nutrientrequirements/healthydiet_factsheet/en/" TargetMode="External"/><Relationship Id="rId4" Type="http://schemas.openxmlformats.org/officeDocument/2006/relationships/settings" Target="settings.xml"/><Relationship Id="rId9" Type="http://schemas.openxmlformats.org/officeDocument/2006/relationships/hyperlink" Target="http://www.who.int/nutrition/publications/double-duty-actions-nutrition-policybrief/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3</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WÜSTEFELD, Marzella</dc:creator>
  <cp:keywords/>
  <dc:description/>
  <cp:lastModifiedBy>WÜSTEFELD, Marzella</cp:lastModifiedBy>
  <cp:revision>45</cp:revision>
  <cp:lastPrinted>2017-12-06T16:13:00Z</cp:lastPrinted>
  <dcterms:created xsi:type="dcterms:W3CDTF">2017-11-23T13:32:00Z</dcterms:created>
  <dcterms:modified xsi:type="dcterms:W3CDTF">2017-12-06T16:27:00Z</dcterms:modified>
</cp:coreProperties>
</file>