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CA" w:rsidRDefault="00F722CA" w:rsidP="00D77D58">
      <w:pPr>
        <w:pStyle w:val="Section"/>
        <w:sectPr w:rsidR="00F722CA" w:rsidSect="00647DFA">
          <w:footerReference w:type="default" r:id="rId8"/>
          <w:headerReference w:type="first" r:id="rId9"/>
          <w:footerReference w:type="first" r:id="rId10"/>
          <w:pgSz w:w="11906" w:h="16838" w:code="9"/>
          <w:pgMar w:top="2041" w:right="1134" w:bottom="1418" w:left="1134" w:header="340" w:footer="720" w:gutter="0"/>
          <w:cols w:space="720"/>
          <w:titlePg/>
        </w:sectPr>
      </w:pPr>
      <w:bookmarkStart w:id="0" w:name="_GoBack"/>
    </w:p>
    <w:tbl>
      <w:tblPr>
        <w:tblW w:w="0" w:type="auto"/>
        <w:tblLayout w:type="fixed"/>
        <w:tblCellMar>
          <w:left w:w="0" w:type="dxa"/>
          <w:right w:w="0" w:type="dxa"/>
        </w:tblCellMar>
        <w:tblLook w:val="01E0" w:firstRow="1" w:lastRow="1" w:firstColumn="1" w:lastColumn="1" w:noHBand="0" w:noVBand="0"/>
      </w:tblPr>
      <w:tblGrid>
        <w:gridCol w:w="9639"/>
      </w:tblGrid>
      <w:tr w:rsidR="008718D8" w:rsidRPr="00195268" w:rsidTr="00180603">
        <w:trPr>
          <w:trHeight w:hRule="exact" w:val="851"/>
        </w:trPr>
        <w:tc>
          <w:tcPr>
            <w:tcW w:w="9639" w:type="dxa"/>
            <w:shd w:val="clear" w:color="auto" w:fill="auto"/>
          </w:tcPr>
          <w:p w:rsidR="008718D8" w:rsidRPr="00CB3565" w:rsidRDefault="008718D8" w:rsidP="002B471C">
            <w:pPr>
              <w:pStyle w:val="Paris-Date"/>
            </w:pPr>
            <w:r w:rsidRPr="00CB3565">
              <w:t xml:space="preserve">Paris, </w:t>
            </w:r>
            <w:r w:rsidR="00C85190">
              <w:t xml:space="preserve">06 </w:t>
            </w:r>
            <w:r w:rsidR="002B471C">
              <w:t>décembre 2016</w:t>
            </w:r>
          </w:p>
        </w:tc>
      </w:tr>
      <w:tr w:rsidR="008718D8" w:rsidRPr="00180603" w:rsidTr="00180603">
        <w:trPr>
          <w:trHeight w:hRule="exact" w:val="1701"/>
        </w:trPr>
        <w:tc>
          <w:tcPr>
            <w:tcW w:w="9639" w:type="dxa"/>
            <w:shd w:val="clear" w:color="auto" w:fill="auto"/>
          </w:tcPr>
          <w:p w:rsidR="008718D8" w:rsidRPr="00180603" w:rsidRDefault="00180603" w:rsidP="00685443">
            <w:pPr>
              <w:pStyle w:val="NAF"/>
            </w:pPr>
            <w:r w:rsidRPr="00180603">
              <w:t>NOTE DES AUTORITÉS FRANÇAISES</w:t>
            </w:r>
          </w:p>
        </w:tc>
      </w:tr>
    </w:tbl>
    <w:p w:rsidR="00D77D58" w:rsidRPr="0042590F" w:rsidRDefault="00D77D58" w:rsidP="00F3433B">
      <w:pPr>
        <w:sectPr w:rsidR="00D77D58" w:rsidRPr="0042590F" w:rsidSect="002C594D">
          <w:type w:val="continuous"/>
          <w:pgSz w:w="11906" w:h="16838" w:code="9"/>
          <w:pgMar w:top="2041" w:right="1134" w:bottom="1985" w:left="1134" w:header="340" w:footer="720" w:gutter="0"/>
          <w:cols w:space="720"/>
        </w:sectPr>
      </w:pPr>
    </w:p>
    <w:p w:rsidR="002B471C" w:rsidRDefault="00D77D58" w:rsidP="002B471C">
      <w:pPr>
        <w:pStyle w:val="Objet"/>
      </w:pPr>
      <w:r w:rsidRPr="00685410">
        <w:rPr>
          <w:b/>
          <w:u w:val="single"/>
        </w:rPr>
        <w:t>Objet</w:t>
      </w:r>
      <w:r w:rsidRPr="0017726C">
        <w:t> </w:t>
      </w:r>
      <w:r w:rsidR="002C594D" w:rsidRPr="0017726C">
        <w:t>:</w:t>
      </w:r>
      <w:r w:rsidR="00685410">
        <w:tab/>
      </w:r>
      <w:r w:rsidR="002B471C">
        <w:t xml:space="preserve"> Remarques sur le </w:t>
      </w:r>
      <w:proofErr w:type="spellStart"/>
      <w:r w:rsidR="002B471C">
        <w:t>draft</w:t>
      </w:r>
      <w:proofErr w:type="spellEnd"/>
      <w:r w:rsidR="002B471C">
        <w:t xml:space="preserve"> zéro du rapport HLPE : « Nutrition et systèmes alimentaires »</w:t>
      </w:r>
    </w:p>
    <w:p w:rsidR="002B471C" w:rsidRDefault="002B471C" w:rsidP="002B471C"/>
    <w:p w:rsidR="002B471C" w:rsidRDefault="002B471C" w:rsidP="002B471C">
      <w:r>
        <w:t xml:space="preserve">Nous remercions le HLPE pour cette consultation autour du </w:t>
      </w:r>
      <w:proofErr w:type="spellStart"/>
      <w:r>
        <w:t>draft</w:t>
      </w:r>
      <w:proofErr w:type="spellEnd"/>
      <w:r>
        <w:t xml:space="preserve"> zéro de l’étude « nutrition et systèmes alimentaires ».</w:t>
      </w:r>
    </w:p>
    <w:p w:rsidR="002B471C" w:rsidRDefault="002B471C" w:rsidP="002B471C">
      <w:r>
        <w:t>Il nous apparaît cependant difficile d’avoir une appréciation globale de ce rapport, puisqu’une partie importante de son contenu n’est pas finalisée (typologie des systèmes alimentaires et recommandations). C’est pourquoi, nous souhaiterions qu’un second "</w:t>
      </w:r>
      <w:proofErr w:type="spellStart"/>
      <w:r>
        <w:t>draft</w:t>
      </w:r>
      <w:proofErr w:type="spellEnd"/>
      <w:r>
        <w:t>" de ce rapport, incluant l’ensemble des parties prévues, soit à nouveau soumis à consultation avant publication du rapport.</w:t>
      </w:r>
    </w:p>
    <w:p w:rsidR="002B471C" w:rsidRDefault="002B471C" w:rsidP="002B471C">
      <w:r>
        <w:t>D’une façon générale, nous aimerions que ce rapport se réfère davantage aux précédents travaux du HLPE et aux recommandations du CSA, notamment celles sur « Connecter les petits producteurs aux marchés », ou le rapport HLPE sur « Développement agricole durable : quelle place pour l’élevage ?».</w:t>
      </w:r>
    </w:p>
    <w:p w:rsidR="002B471C" w:rsidRDefault="002B471C" w:rsidP="002B471C"/>
    <w:p w:rsidR="002B471C" w:rsidRDefault="002B471C" w:rsidP="002B471C">
      <w:r>
        <w:t>Il nous paraitrait fondamental également que le rapport se réfère au Droit à l’Alimentation qui est un des piliers du Cadre Stratégique Global du CSA, et à la mise en œuvre de l’Agenda 2030, notamment sur ce que leur application implique en matière de nutrition.</w:t>
      </w:r>
    </w:p>
    <w:p w:rsidR="002B471C" w:rsidRDefault="002B471C" w:rsidP="002B471C">
      <w:r>
        <w:t>Les définitions concernant la malnutrition ne sont pas précises et il est vraiment important qu'une cohérence soit respectée avec les différents programmes qui traitent de ce sujet, en particulier SUN (</w:t>
      </w:r>
      <w:proofErr w:type="spellStart"/>
      <w:r w:rsidRPr="002B471C">
        <w:rPr>
          <w:i/>
        </w:rPr>
        <w:t>Scaling</w:t>
      </w:r>
      <w:proofErr w:type="spellEnd"/>
      <w:r w:rsidRPr="002B471C">
        <w:rPr>
          <w:i/>
        </w:rPr>
        <w:t xml:space="preserve"> up nutrition</w:t>
      </w:r>
      <w:r>
        <w:t>) et ICN2. Il est important que des indicateurs fiables et universels puissent découler précisément de ces définitions.</w:t>
      </w:r>
    </w:p>
    <w:p w:rsidR="002B471C" w:rsidRPr="002B471C" w:rsidRDefault="002B471C" w:rsidP="002B471C">
      <w:pPr>
        <w:rPr>
          <w:u w:val="single"/>
        </w:rPr>
      </w:pPr>
      <w:r w:rsidRPr="002B471C">
        <w:rPr>
          <w:u w:val="single"/>
        </w:rPr>
        <w:t xml:space="preserve">Question 2.2 </w:t>
      </w:r>
    </w:p>
    <w:p w:rsidR="002B471C" w:rsidRDefault="002B471C" w:rsidP="002B471C">
      <w:r>
        <w:t>Insister et analyser davantage l’impact des modèles de production et des pratiques agricoles sur la nutrition. L’agriculture sensible à la nutrition reste une thématique encore sous-explorée et pourrait faire l’objet d’analyses plus approfondies.</w:t>
      </w:r>
    </w:p>
    <w:p w:rsidR="002B471C" w:rsidRPr="002B471C" w:rsidRDefault="002B471C" w:rsidP="002B471C">
      <w:pPr>
        <w:rPr>
          <w:u w:val="single"/>
        </w:rPr>
      </w:pPr>
      <w:r w:rsidRPr="002B471C">
        <w:rPr>
          <w:u w:val="single"/>
        </w:rPr>
        <w:t xml:space="preserve">Question 2.3 </w:t>
      </w:r>
    </w:p>
    <w:p w:rsidR="002B471C" w:rsidRDefault="002B471C" w:rsidP="002B471C">
      <w:r>
        <w:t xml:space="preserve">Fortification et bio-fortification : il serait important d'analyser dans le document l'accès des plus pauvres aux produits  fortifiés ou </w:t>
      </w:r>
      <w:proofErr w:type="spellStart"/>
      <w:r>
        <w:t>biofortifiés</w:t>
      </w:r>
      <w:proofErr w:type="spellEnd"/>
      <w:r>
        <w:t>. En effet, l'existence de monopole sur ces produits peut fragiliser l'accès de tous à ces produits, et plus spécialement les populations fragilisées alimentaires. Ce point sera à prendre en compte lors de la rédaction des recommandations.</w:t>
      </w:r>
    </w:p>
    <w:p w:rsidR="002B471C" w:rsidRPr="002B471C" w:rsidRDefault="002B471C" w:rsidP="002B471C">
      <w:pPr>
        <w:rPr>
          <w:u w:val="single"/>
        </w:rPr>
      </w:pPr>
      <w:r w:rsidRPr="002B471C">
        <w:rPr>
          <w:u w:val="single"/>
        </w:rPr>
        <w:t>Question 2.10</w:t>
      </w:r>
    </w:p>
    <w:p w:rsidR="002B471C" w:rsidRDefault="002B471C" w:rsidP="002B471C">
      <w:r>
        <w:t>L’urbanisation croissante et ses conséquences sur la nutrition et les systèmes alimentaires mériteraient d’être davantage explorés : infrastructures d’accès, évolution du temps dévolu à la préparation des repas, évolutions des habitudes alimentaires, agriculture urbaine…</w:t>
      </w:r>
    </w:p>
    <w:p w:rsidR="002B471C" w:rsidRDefault="002B471C" w:rsidP="002B471C">
      <w:r>
        <w:lastRenderedPageBreak/>
        <w:t>Le lien entre le niveau de revenu des ménages et leur nutrition mériterait d’être exploré plus en profondeur. L’augmentation des revenus peut conduire à la fois à une augmentation de la consommation d’aliments nutritifs (fruits et légumes, protéines animales, produits de la mer…) mais aussi à une augmentation de la consommation d’aliments moins nutritifs (produits transformés, sel….).</w:t>
      </w:r>
    </w:p>
    <w:p w:rsidR="002B471C" w:rsidRDefault="002B471C" w:rsidP="002B471C">
      <w:r>
        <w:t>Les recommandations du CSA sur « Connecter les petits producteurs aux marchés » ont mis en avant l’importance des marchés territoriaux. Il nous parait opportun de différencier les impacts de chaque type de marché (local, national, international) sur les systèmes alimentaires et la nutrition. La partie 3.2.3. semble pour le moment surtout focalisée sur les marchés internationaux.</w:t>
      </w:r>
    </w:p>
    <w:bookmarkEnd w:id="0"/>
    <w:p w:rsidR="00685443" w:rsidRPr="00685410" w:rsidRDefault="00685443" w:rsidP="002B471C"/>
    <w:sectPr w:rsidR="00685443" w:rsidRPr="00685410" w:rsidSect="0042590F">
      <w:headerReference w:type="default" r:id="rId11"/>
      <w:footerReference w:type="default" r:id="rId12"/>
      <w:type w:val="continuous"/>
      <w:pgSz w:w="11906" w:h="16838" w:code="9"/>
      <w:pgMar w:top="1134" w:right="1418" w:bottom="1134" w:left="1418" w:header="34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1A" w:rsidRDefault="00876E1A">
      <w:r>
        <w:separator/>
      </w:r>
    </w:p>
  </w:endnote>
  <w:endnote w:type="continuationSeparator" w:id="0">
    <w:p w:rsidR="00876E1A" w:rsidRDefault="0087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nice Ligh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4D" w:rsidRDefault="002C594D" w:rsidP="002C594D">
    <w:pPr>
      <w:pStyle w:val="Footer"/>
      <w:tabs>
        <w:tab w:val="clear" w:pos="9072"/>
        <w:tab w:val="right" w:pos="8789"/>
      </w:tabs>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AF1" w:rsidRDefault="00FF4AF1" w:rsidP="00FF4AF1">
    <w:pPr>
      <w:pStyle w:val="Footer"/>
      <w:tabs>
        <w:tab w:val="clear" w:pos="9072"/>
        <w:tab w:val="right" w:pos="9356"/>
      </w:tabs>
    </w:pPr>
    <w:r>
      <w:tab/>
    </w:r>
    <w:r>
      <w:tab/>
    </w:r>
    <w:r>
      <w:fldChar w:fldCharType="begin"/>
    </w:r>
    <w:r>
      <w:instrText>PAGE   \* MERGEFORMAT</w:instrText>
    </w:r>
    <w:r>
      <w:fldChar w:fldCharType="separate"/>
    </w:r>
    <w:r w:rsidR="00316AA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4D" w:rsidRPr="00B04B9E" w:rsidRDefault="002C594D" w:rsidP="00B04B9E">
    <w:pPr>
      <w:pStyle w:val="Footer"/>
    </w:pPr>
    <w:r w:rsidRPr="00B04B9E">
      <w:tab/>
    </w:r>
    <w:r w:rsidRPr="00B04B9E">
      <w:tab/>
    </w:r>
    <w:r w:rsidRPr="00B04B9E">
      <w:rPr>
        <w:rStyle w:val="PageNumber"/>
      </w:rPr>
      <w:fldChar w:fldCharType="begin"/>
    </w:r>
    <w:r w:rsidRPr="00B04B9E">
      <w:rPr>
        <w:rStyle w:val="PageNumber"/>
      </w:rPr>
      <w:instrText xml:space="preserve"> PAGE </w:instrText>
    </w:r>
    <w:r w:rsidRPr="00B04B9E">
      <w:rPr>
        <w:rStyle w:val="PageNumber"/>
      </w:rPr>
      <w:fldChar w:fldCharType="separate"/>
    </w:r>
    <w:r w:rsidR="00316AAB">
      <w:rPr>
        <w:rStyle w:val="PageNumber"/>
        <w:noProof/>
      </w:rPr>
      <w:t>2</w:t>
    </w:r>
    <w:r w:rsidRPr="00B04B9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1A" w:rsidRDefault="00876E1A" w:rsidP="00C41B88">
      <w:pPr>
        <w:spacing w:after="0"/>
      </w:pPr>
      <w:r>
        <w:separator/>
      </w:r>
    </w:p>
  </w:footnote>
  <w:footnote w:type="continuationSeparator" w:id="0">
    <w:p w:rsidR="00876E1A" w:rsidRDefault="00876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59" w:rsidRDefault="000869CE" w:rsidP="00F3433B">
    <w:pPr>
      <w:pStyle w:val="LogoMarianne"/>
    </w:pPr>
    <w:r>
      <w:rPr>
        <w:noProof/>
        <w:lang w:val="en-GB" w:eastAsia="zh-CN"/>
      </w:rPr>
      <w:drawing>
        <wp:inline distT="0" distB="0" distL="0" distR="0" wp14:anchorId="22333C16" wp14:editId="2294DAC1">
          <wp:extent cx="1104900" cy="657225"/>
          <wp:effectExtent l="0" t="0" r="0" b="9525"/>
          <wp:docPr id="1"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572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4D" w:rsidRDefault="002C5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06AB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C26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2437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824E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E63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1413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D8B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617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6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DE1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93087"/>
    <w:multiLevelType w:val="hybridMultilevel"/>
    <w:tmpl w:val="45FC244A"/>
    <w:lvl w:ilvl="0" w:tplc="9402803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1030A0"/>
    <w:multiLevelType w:val="hybridMultilevel"/>
    <w:tmpl w:val="6574A694"/>
    <w:lvl w:ilvl="0" w:tplc="2A14C942">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DA7601"/>
    <w:multiLevelType w:val="hybridMultilevel"/>
    <w:tmpl w:val="8468F2C2"/>
    <w:lvl w:ilvl="0" w:tplc="6156AF6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EC6B2C"/>
    <w:multiLevelType w:val="hybridMultilevel"/>
    <w:tmpl w:val="3C444718"/>
    <w:lvl w:ilvl="0" w:tplc="F36C375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6605B3"/>
    <w:multiLevelType w:val="hybridMultilevel"/>
    <w:tmpl w:val="1BAE2B7C"/>
    <w:lvl w:ilvl="0" w:tplc="857082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E8738A"/>
    <w:multiLevelType w:val="hybridMultilevel"/>
    <w:tmpl w:val="4C74734E"/>
    <w:lvl w:ilvl="0" w:tplc="E9060756">
      <w:start w:val="1"/>
      <w:numFmt w:val="decimal"/>
      <w:pStyle w:val="Liste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964DFA"/>
    <w:multiLevelType w:val="multilevel"/>
    <w:tmpl w:val="6AD86F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B12922"/>
    <w:multiLevelType w:val="multilevel"/>
    <w:tmpl w:val="C4B04182"/>
    <w:lvl w:ilvl="0">
      <w:start w:val="1"/>
      <w:numFmt w:val="decimal"/>
      <w:pStyle w:val="Intertitre"/>
      <w:lvlText w:val="%1."/>
      <w:lvlJc w:val="left"/>
      <w:pPr>
        <w:ind w:left="432" w:hanging="432"/>
      </w:pPr>
      <w:rPr>
        <w:rFonts w:hint="default"/>
      </w:rPr>
    </w:lvl>
    <w:lvl w:ilvl="1">
      <w:start w:val="1"/>
      <w:numFmt w:val="decimal"/>
      <w:pStyle w:val="Intertitre2"/>
      <w:suff w:val="space"/>
      <w:lvlText w:val="%1.%2."/>
      <w:lvlJc w:val="left"/>
      <w:pPr>
        <w:ind w:left="576" w:hanging="576"/>
      </w:pPr>
      <w:rPr>
        <w:rFonts w:hint="default"/>
      </w:rPr>
    </w:lvl>
    <w:lvl w:ilvl="2">
      <w:start w:val="1"/>
      <w:numFmt w:val="decimal"/>
      <w:pStyle w:val="Intertitre3"/>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ADC4BCC"/>
    <w:multiLevelType w:val="hybridMultilevel"/>
    <w:tmpl w:val="9E1ABAF6"/>
    <w:lvl w:ilvl="0" w:tplc="073CF48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74F66D0"/>
    <w:multiLevelType w:val="hybridMultilevel"/>
    <w:tmpl w:val="F67EE3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693BCE"/>
    <w:multiLevelType w:val="hybridMultilevel"/>
    <w:tmpl w:val="94BEBA3C"/>
    <w:lvl w:ilvl="0" w:tplc="0330995E">
      <w:start w:val="1"/>
      <w:numFmt w:val="bullet"/>
      <w:pStyle w:val="ListePuces2"/>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9"/>
  </w:num>
  <w:num w:numId="14">
    <w:abstractNumId w:val="12"/>
  </w:num>
  <w:num w:numId="15">
    <w:abstractNumId w:val="16"/>
  </w:num>
  <w:num w:numId="16">
    <w:abstractNumId w:val="18"/>
  </w:num>
  <w:num w:numId="17">
    <w:abstractNumId w:val="10"/>
  </w:num>
  <w:num w:numId="18">
    <w:abstractNumId w:val="14"/>
  </w:num>
  <w:num w:numId="19">
    <w:abstractNumId w:val="15"/>
  </w:num>
  <w:num w:numId="20">
    <w:abstractNumId w:val="11"/>
  </w:num>
  <w:num w:numId="21">
    <w:abstractNumId w:val="20"/>
  </w:num>
  <w:num w:numId="22">
    <w:abstractNumId w:val="13"/>
  </w:num>
  <w:num w:numId="23">
    <w:abstractNumId w:val="17"/>
  </w:num>
  <w:num w:numId="24">
    <w:abstractNumId w:val="17"/>
  </w:num>
  <w:num w:numId="25">
    <w:abstractNumId w:val="17"/>
  </w:num>
  <w:num w:numId="26">
    <w:abstractNumId w:val="15"/>
  </w:num>
  <w:num w:numId="27">
    <w:abstractNumId w:val="11"/>
  </w:num>
  <w:num w:numId="28">
    <w:abstractNumId w:val="20"/>
  </w:num>
  <w:num w:numId="29">
    <w:abstractNumId w:val="17"/>
  </w:num>
  <w:num w:numId="30">
    <w:abstractNumId w:val="17"/>
  </w:num>
  <w:num w:numId="31">
    <w:abstractNumId w:val="17"/>
  </w:num>
  <w:num w:numId="32">
    <w:abstractNumId w:val="15"/>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1C"/>
    <w:rsid w:val="00024E9C"/>
    <w:rsid w:val="000869CE"/>
    <w:rsid w:val="00095F59"/>
    <w:rsid w:val="000F4E6F"/>
    <w:rsid w:val="0017726C"/>
    <w:rsid w:val="00180603"/>
    <w:rsid w:val="00195268"/>
    <w:rsid w:val="001C5E09"/>
    <w:rsid w:val="00274D1E"/>
    <w:rsid w:val="002771E9"/>
    <w:rsid w:val="002A4462"/>
    <w:rsid w:val="002B471C"/>
    <w:rsid w:val="002C250E"/>
    <w:rsid w:val="002C594D"/>
    <w:rsid w:val="00316AAB"/>
    <w:rsid w:val="0036503B"/>
    <w:rsid w:val="003C72B8"/>
    <w:rsid w:val="0042590F"/>
    <w:rsid w:val="004F7989"/>
    <w:rsid w:val="00555E2B"/>
    <w:rsid w:val="00587345"/>
    <w:rsid w:val="00647DFA"/>
    <w:rsid w:val="00685410"/>
    <w:rsid w:val="00685443"/>
    <w:rsid w:val="006C3782"/>
    <w:rsid w:val="006E6EE5"/>
    <w:rsid w:val="00707775"/>
    <w:rsid w:val="007F249C"/>
    <w:rsid w:val="00812147"/>
    <w:rsid w:val="0086338B"/>
    <w:rsid w:val="008718D8"/>
    <w:rsid w:val="00876E1A"/>
    <w:rsid w:val="008A322E"/>
    <w:rsid w:val="008D5C80"/>
    <w:rsid w:val="00A43234"/>
    <w:rsid w:val="00A56F68"/>
    <w:rsid w:val="00A976CE"/>
    <w:rsid w:val="00B04799"/>
    <w:rsid w:val="00B04B9E"/>
    <w:rsid w:val="00B10FD7"/>
    <w:rsid w:val="00B43E48"/>
    <w:rsid w:val="00BE4C07"/>
    <w:rsid w:val="00C41B88"/>
    <w:rsid w:val="00C85190"/>
    <w:rsid w:val="00CB3565"/>
    <w:rsid w:val="00CE3AB1"/>
    <w:rsid w:val="00D77D58"/>
    <w:rsid w:val="00D901EC"/>
    <w:rsid w:val="00DD1FF0"/>
    <w:rsid w:val="00DD36D9"/>
    <w:rsid w:val="00DE51BD"/>
    <w:rsid w:val="00DF11C8"/>
    <w:rsid w:val="00E51521"/>
    <w:rsid w:val="00E65487"/>
    <w:rsid w:val="00EA1B7C"/>
    <w:rsid w:val="00F3073F"/>
    <w:rsid w:val="00F3433B"/>
    <w:rsid w:val="00F66086"/>
    <w:rsid w:val="00F722CA"/>
    <w:rsid w:val="00F724D9"/>
    <w:rsid w:val="00F87CBA"/>
    <w:rsid w:val="00F92EB2"/>
    <w:rsid w:val="00FF4AF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A261F2E-0243-4DF5-828A-DFD6D843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10"/>
    <w:pPr>
      <w:spacing w:after="120"/>
      <w:jc w:val="both"/>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5410"/>
    <w:pPr>
      <w:tabs>
        <w:tab w:val="center" w:pos="4536"/>
        <w:tab w:val="right" w:pos="9072"/>
      </w:tabs>
    </w:pPr>
  </w:style>
  <w:style w:type="paragraph" w:customStyle="1" w:styleId="Rfrences">
    <w:name w:val="Références"/>
    <w:rsid w:val="00685410"/>
    <w:pPr>
      <w:spacing w:line="220" w:lineRule="exact"/>
    </w:pPr>
    <w:rPr>
      <w:rFonts w:ascii="Calibri" w:hAnsi="Calibri"/>
      <w:sz w:val="18"/>
      <w:szCs w:val="16"/>
    </w:rPr>
  </w:style>
  <w:style w:type="paragraph" w:styleId="Footer">
    <w:name w:val="footer"/>
    <w:basedOn w:val="Normal"/>
    <w:link w:val="FooterChar"/>
    <w:rsid w:val="00685410"/>
    <w:pPr>
      <w:tabs>
        <w:tab w:val="center" w:pos="4536"/>
        <w:tab w:val="right" w:pos="9072"/>
      </w:tabs>
    </w:pPr>
  </w:style>
  <w:style w:type="paragraph" w:styleId="BalloonText">
    <w:name w:val="Balloon Text"/>
    <w:basedOn w:val="Normal"/>
    <w:semiHidden/>
    <w:rsid w:val="00685410"/>
    <w:rPr>
      <w:rFonts w:ascii="Tahoma" w:hAnsi="Tahoma" w:cs="Tahoma"/>
      <w:sz w:val="16"/>
      <w:szCs w:val="16"/>
    </w:rPr>
  </w:style>
  <w:style w:type="table" w:styleId="TableGrid">
    <w:name w:val="Table Grid"/>
    <w:basedOn w:val="TableNormal"/>
    <w:rsid w:val="00685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Marianne">
    <w:name w:val="Logo Marianne"/>
    <w:rsid w:val="00685410"/>
    <w:pPr>
      <w:jc w:val="center"/>
    </w:pPr>
    <w:rPr>
      <w:sz w:val="24"/>
    </w:rPr>
  </w:style>
  <w:style w:type="paragraph" w:customStyle="1" w:styleId="PM">
    <w:name w:val="PM"/>
    <w:rsid w:val="00685410"/>
    <w:pPr>
      <w:spacing w:before="240"/>
      <w:jc w:val="center"/>
    </w:pPr>
    <w:rPr>
      <w:spacing w:val="50"/>
    </w:rPr>
  </w:style>
  <w:style w:type="paragraph" w:customStyle="1" w:styleId="LogoSGAE">
    <w:name w:val="Logo SGAE"/>
    <w:rsid w:val="00685410"/>
    <w:pPr>
      <w:spacing w:line="360" w:lineRule="auto"/>
    </w:pPr>
    <w:rPr>
      <w:sz w:val="24"/>
    </w:rPr>
  </w:style>
  <w:style w:type="paragraph" w:customStyle="1" w:styleId="SGAE">
    <w:name w:val="SGAE"/>
    <w:rsid w:val="00685410"/>
    <w:pPr>
      <w:spacing w:before="240" w:after="480"/>
    </w:pPr>
    <w:rPr>
      <w:rFonts w:ascii="Fenice Light" w:hAnsi="Fenice Light"/>
      <w:sz w:val="16"/>
      <w:szCs w:val="16"/>
    </w:rPr>
  </w:style>
  <w:style w:type="paragraph" w:customStyle="1" w:styleId="Section">
    <w:name w:val="Section"/>
    <w:basedOn w:val="Normal"/>
    <w:rsid w:val="00685410"/>
    <w:pPr>
      <w:spacing w:after="0"/>
    </w:pPr>
  </w:style>
  <w:style w:type="paragraph" w:customStyle="1" w:styleId="Adresse">
    <w:name w:val="Adresse"/>
    <w:rsid w:val="00685410"/>
    <w:pPr>
      <w:jc w:val="center"/>
    </w:pPr>
    <w:rPr>
      <w:rFonts w:ascii="Verdana" w:hAnsi="Verdana"/>
      <w:sz w:val="16"/>
    </w:rPr>
  </w:style>
  <w:style w:type="character" w:styleId="PageNumber">
    <w:name w:val="page number"/>
    <w:basedOn w:val="DefaultParagraphFont"/>
    <w:rsid w:val="00685410"/>
  </w:style>
  <w:style w:type="table" w:customStyle="1" w:styleId="Grilledutableau1">
    <w:name w:val="Grille du tableau1"/>
    <w:basedOn w:val="TableNormal"/>
    <w:next w:val="TableGrid"/>
    <w:uiPriority w:val="59"/>
    <w:rsid w:val="006854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6854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diteur">
    <w:name w:val="Expéditeur"/>
    <w:rsid w:val="00685410"/>
    <w:pPr>
      <w:spacing w:before="240" w:line="360" w:lineRule="auto"/>
    </w:pPr>
    <w:rPr>
      <w:rFonts w:ascii="Calibri" w:hAnsi="Calibri"/>
      <w:sz w:val="22"/>
      <w:szCs w:val="23"/>
    </w:rPr>
  </w:style>
  <w:style w:type="paragraph" w:customStyle="1" w:styleId="Destinataire">
    <w:name w:val="Destinataire"/>
    <w:rsid w:val="00685410"/>
    <w:pPr>
      <w:spacing w:after="120"/>
    </w:pPr>
    <w:rPr>
      <w:rFonts w:ascii="Calibri" w:hAnsi="Calibri"/>
      <w:sz w:val="22"/>
      <w:szCs w:val="23"/>
    </w:rPr>
  </w:style>
  <w:style w:type="paragraph" w:customStyle="1" w:styleId="Paris-Date">
    <w:name w:val="Paris-Date"/>
    <w:rsid w:val="002C250E"/>
    <w:pPr>
      <w:tabs>
        <w:tab w:val="left" w:pos="9639"/>
      </w:tabs>
      <w:ind w:left="6804"/>
    </w:pPr>
    <w:rPr>
      <w:rFonts w:ascii="Calibri" w:hAnsi="Calibri"/>
      <w:sz w:val="22"/>
      <w:szCs w:val="23"/>
    </w:rPr>
  </w:style>
  <w:style w:type="paragraph" w:customStyle="1" w:styleId="Signataire">
    <w:name w:val="Signataire"/>
    <w:basedOn w:val="Normal"/>
    <w:rsid w:val="00685410"/>
    <w:pPr>
      <w:spacing w:before="1200" w:after="0"/>
      <w:ind w:left="4536"/>
      <w:jc w:val="center"/>
    </w:pPr>
  </w:style>
  <w:style w:type="paragraph" w:customStyle="1" w:styleId="ListePuces">
    <w:name w:val="Liste Puces"/>
    <w:basedOn w:val="Normal"/>
    <w:rsid w:val="00685410"/>
    <w:pPr>
      <w:numPr>
        <w:numId w:val="33"/>
      </w:numPr>
      <w:ind w:left="284" w:hanging="284"/>
    </w:pPr>
  </w:style>
  <w:style w:type="paragraph" w:customStyle="1" w:styleId="ListeNum">
    <w:name w:val="Liste Num"/>
    <w:basedOn w:val="Normal"/>
    <w:rsid w:val="00685410"/>
    <w:pPr>
      <w:numPr>
        <w:numId w:val="32"/>
      </w:numPr>
      <w:ind w:left="284" w:hanging="284"/>
    </w:pPr>
  </w:style>
  <w:style w:type="paragraph" w:customStyle="1" w:styleId="Intertitre">
    <w:name w:val="Intertitre"/>
    <w:basedOn w:val="Normal"/>
    <w:next w:val="Normal"/>
    <w:link w:val="IntertitreCar"/>
    <w:rsid w:val="00685410"/>
    <w:pPr>
      <w:keepNext/>
      <w:numPr>
        <w:numId w:val="31"/>
      </w:numPr>
      <w:spacing w:before="240"/>
      <w:ind w:left="284" w:hanging="284"/>
    </w:pPr>
    <w:rPr>
      <w:b/>
      <w:u w:val="single"/>
    </w:rPr>
  </w:style>
  <w:style w:type="paragraph" w:styleId="FootnoteText">
    <w:name w:val="footnote text"/>
    <w:basedOn w:val="Normal"/>
    <w:link w:val="FootnoteTextChar"/>
    <w:rsid w:val="00685410"/>
    <w:rPr>
      <w:sz w:val="19"/>
    </w:rPr>
  </w:style>
  <w:style w:type="character" w:customStyle="1" w:styleId="FootnoteTextChar">
    <w:name w:val="Footnote Text Char"/>
    <w:link w:val="FootnoteText"/>
    <w:rsid w:val="00685410"/>
    <w:rPr>
      <w:rFonts w:ascii="Calibri" w:hAnsi="Calibri"/>
      <w:sz w:val="19"/>
    </w:rPr>
  </w:style>
  <w:style w:type="character" w:styleId="FootnoteReference">
    <w:name w:val="footnote reference"/>
    <w:rsid w:val="00685410"/>
    <w:rPr>
      <w:vertAlign w:val="superscript"/>
    </w:rPr>
  </w:style>
  <w:style w:type="paragraph" w:customStyle="1" w:styleId="Objet">
    <w:name w:val="Objet"/>
    <w:basedOn w:val="Normal"/>
    <w:rsid w:val="00685410"/>
    <w:pPr>
      <w:tabs>
        <w:tab w:val="left" w:pos="709"/>
        <w:tab w:val="left" w:pos="1276"/>
      </w:tabs>
    </w:pPr>
    <w:rPr>
      <w:szCs w:val="23"/>
    </w:rPr>
  </w:style>
  <w:style w:type="paragraph" w:styleId="NormalWeb">
    <w:name w:val="Normal (Web)"/>
    <w:basedOn w:val="Normal"/>
    <w:uiPriority w:val="99"/>
    <w:unhideWhenUsed/>
    <w:rsid w:val="00685410"/>
    <w:pPr>
      <w:spacing w:before="100" w:beforeAutospacing="1" w:after="100" w:afterAutospacing="1"/>
      <w:jc w:val="left"/>
    </w:pPr>
    <w:rPr>
      <w:rFonts w:ascii="Times New Roman" w:hAnsi="Times New Roman"/>
      <w:sz w:val="24"/>
      <w:szCs w:val="24"/>
    </w:rPr>
  </w:style>
  <w:style w:type="paragraph" w:customStyle="1" w:styleId="Intertitre2">
    <w:name w:val="Intertitre2"/>
    <w:basedOn w:val="Intertitre"/>
    <w:next w:val="Normal"/>
    <w:link w:val="Intertitre2Car"/>
    <w:rsid w:val="00685410"/>
    <w:pPr>
      <w:numPr>
        <w:ilvl w:val="1"/>
      </w:numPr>
      <w:ind w:left="567" w:hanging="283"/>
    </w:pPr>
    <w:rPr>
      <w:noProof/>
      <w:u w:val="none"/>
    </w:rPr>
  </w:style>
  <w:style w:type="character" w:customStyle="1" w:styleId="FooterChar">
    <w:name w:val="Footer Char"/>
    <w:link w:val="Footer"/>
    <w:rsid w:val="00FF4AF1"/>
    <w:rPr>
      <w:rFonts w:ascii="Calibri" w:hAnsi="Calibri"/>
      <w:sz w:val="22"/>
    </w:rPr>
  </w:style>
  <w:style w:type="paragraph" w:customStyle="1" w:styleId="ListePuces2">
    <w:name w:val="Liste Puces 2"/>
    <w:basedOn w:val="ListePuces"/>
    <w:rsid w:val="00685410"/>
    <w:pPr>
      <w:numPr>
        <w:numId w:val="34"/>
      </w:numPr>
      <w:ind w:left="567" w:hanging="283"/>
    </w:pPr>
  </w:style>
  <w:style w:type="paragraph" w:customStyle="1" w:styleId="Intertitre3">
    <w:name w:val="Intertitre3"/>
    <w:basedOn w:val="Intertitre2"/>
    <w:next w:val="Normal"/>
    <w:link w:val="Intertitre3Car"/>
    <w:rsid w:val="00685410"/>
    <w:pPr>
      <w:numPr>
        <w:ilvl w:val="2"/>
      </w:numPr>
      <w:ind w:left="567" w:firstLine="0"/>
    </w:pPr>
    <w:rPr>
      <w:b w:val="0"/>
      <w:i/>
    </w:rPr>
  </w:style>
  <w:style w:type="paragraph" w:customStyle="1" w:styleId="NAF">
    <w:name w:val="NAF"/>
    <w:basedOn w:val="Destinataire"/>
    <w:rsid w:val="00685443"/>
    <w:pPr>
      <w:jc w:val="center"/>
    </w:pPr>
    <w:rPr>
      <w:b/>
      <w:bCs/>
      <w:sz w:val="36"/>
      <w:szCs w:val="20"/>
    </w:rPr>
  </w:style>
  <w:style w:type="character" w:customStyle="1" w:styleId="Intertitre2Car">
    <w:name w:val="Intertitre2 Car"/>
    <w:basedOn w:val="IntertitreCar"/>
    <w:link w:val="Intertitre2"/>
    <w:rsid w:val="00685410"/>
    <w:rPr>
      <w:rFonts w:ascii="Calibri" w:hAnsi="Calibri"/>
      <w:b/>
      <w:noProof/>
      <w:sz w:val="22"/>
      <w:u w:val="single"/>
    </w:rPr>
  </w:style>
  <w:style w:type="character" w:customStyle="1" w:styleId="Intertitre3Car">
    <w:name w:val="Intertitre3 Car"/>
    <w:basedOn w:val="Intertitre2Car"/>
    <w:link w:val="Intertitre3"/>
    <w:rsid w:val="00685410"/>
    <w:rPr>
      <w:rFonts w:ascii="Calibri" w:hAnsi="Calibri"/>
      <w:b w:val="0"/>
      <w:i/>
      <w:noProof/>
      <w:sz w:val="22"/>
      <w:u w:val="single"/>
    </w:rPr>
  </w:style>
  <w:style w:type="paragraph" w:styleId="Caption">
    <w:name w:val="caption"/>
    <w:basedOn w:val="Normal"/>
    <w:next w:val="Normal"/>
    <w:unhideWhenUsed/>
    <w:qFormat/>
    <w:rsid w:val="00685410"/>
    <w:pPr>
      <w:spacing w:before="120" w:after="240"/>
    </w:pPr>
    <w:rPr>
      <w:bCs/>
      <w:i/>
      <w:noProof/>
      <w:szCs w:val="22"/>
    </w:rPr>
  </w:style>
  <w:style w:type="paragraph" w:customStyle="1" w:styleId="Rsum">
    <w:name w:val="Résumé"/>
    <w:basedOn w:val="Normal"/>
    <w:rsid w:val="00685410"/>
    <w:pPr>
      <w:pBdr>
        <w:left w:val="single" w:sz="24" w:space="4" w:color="808080"/>
      </w:pBdr>
      <w:spacing w:before="60"/>
    </w:pPr>
    <w:rPr>
      <w:i/>
      <w:szCs w:val="24"/>
    </w:rPr>
  </w:style>
  <w:style w:type="paragraph" w:customStyle="1" w:styleId="TableauCellule">
    <w:name w:val="TableauCellule"/>
    <w:basedOn w:val="Normal"/>
    <w:rsid w:val="00685410"/>
    <w:pPr>
      <w:spacing w:before="60" w:after="60"/>
      <w:jc w:val="left"/>
    </w:pPr>
    <w:rPr>
      <w:rFonts w:asciiTheme="minorHAnsi" w:eastAsiaTheme="minorHAnsi" w:hAnsiTheme="minorHAnsi" w:cstheme="minorBidi"/>
      <w:sz w:val="20"/>
      <w:lang w:eastAsia="en-US"/>
    </w:rPr>
  </w:style>
  <w:style w:type="character" w:customStyle="1" w:styleId="IntertitreCar">
    <w:name w:val="Intertitre Car"/>
    <w:basedOn w:val="DefaultParagraphFont"/>
    <w:link w:val="Intertitre"/>
    <w:rsid w:val="00685410"/>
    <w:rPr>
      <w:rFonts w:ascii="Calibri" w:hAnsi="Calibr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84475">
      <w:bodyDiv w:val="1"/>
      <w:marLeft w:val="0"/>
      <w:marRight w:val="0"/>
      <w:marTop w:val="0"/>
      <w:marBottom w:val="0"/>
      <w:divBdr>
        <w:top w:val="none" w:sz="0" w:space="0" w:color="auto"/>
        <w:left w:val="none" w:sz="0" w:space="0" w:color="auto"/>
        <w:bottom w:val="none" w:sz="0" w:space="0" w:color="auto"/>
        <w:right w:val="none" w:sz="0" w:space="0" w:color="auto"/>
      </w:divBdr>
    </w:div>
    <w:div w:id="677342986">
      <w:bodyDiv w:val="1"/>
      <w:marLeft w:val="0"/>
      <w:marRight w:val="0"/>
      <w:marTop w:val="0"/>
      <w:marBottom w:val="0"/>
      <w:divBdr>
        <w:top w:val="none" w:sz="0" w:space="0" w:color="auto"/>
        <w:left w:val="none" w:sz="0" w:space="0" w:color="auto"/>
        <w:bottom w:val="none" w:sz="0" w:space="0" w:color="auto"/>
        <w:right w:val="none" w:sz="0" w:space="0" w:color="auto"/>
      </w:divBdr>
    </w:div>
    <w:div w:id="728655787">
      <w:bodyDiv w:val="1"/>
      <w:marLeft w:val="0"/>
      <w:marRight w:val="0"/>
      <w:marTop w:val="0"/>
      <w:marBottom w:val="0"/>
      <w:divBdr>
        <w:top w:val="none" w:sz="0" w:space="0" w:color="auto"/>
        <w:left w:val="none" w:sz="0" w:space="0" w:color="auto"/>
        <w:bottom w:val="none" w:sz="0" w:space="0" w:color="auto"/>
        <w:right w:val="none" w:sz="0" w:space="0" w:color="auto"/>
      </w:divBdr>
    </w:div>
    <w:div w:id="885727071">
      <w:bodyDiv w:val="1"/>
      <w:marLeft w:val="0"/>
      <w:marRight w:val="0"/>
      <w:marTop w:val="0"/>
      <w:marBottom w:val="0"/>
      <w:divBdr>
        <w:top w:val="none" w:sz="0" w:space="0" w:color="auto"/>
        <w:left w:val="none" w:sz="0" w:space="0" w:color="auto"/>
        <w:bottom w:val="none" w:sz="0" w:space="0" w:color="auto"/>
        <w:right w:val="none" w:sz="0" w:space="0" w:color="auto"/>
      </w:divBdr>
    </w:div>
    <w:div w:id="1059742788">
      <w:bodyDiv w:val="1"/>
      <w:marLeft w:val="0"/>
      <w:marRight w:val="0"/>
      <w:marTop w:val="0"/>
      <w:marBottom w:val="0"/>
      <w:divBdr>
        <w:top w:val="none" w:sz="0" w:space="0" w:color="auto"/>
        <w:left w:val="none" w:sz="0" w:space="0" w:color="auto"/>
        <w:bottom w:val="none" w:sz="0" w:space="0" w:color="auto"/>
        <w:right w:val="none" w:sz="0" w:space="0" w:color="auto"/>
      </w:divBdr>
    </w:div>
    <w:div w:id="20392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A216-FB9F-4A27-8C00-CB0C0002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2792</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SGCI</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VELGE Pierre</dc:creator>
  <cp:lastModifiedBy>Blanck, Max (ESA)</cp:lastModifiedBy>
  <cp:revision>2</cp:revision>
  <cp:lastPrinted>2015-04-28T13:17:00Z</cp:lastPrinted>
  <dcterms:created xsi:type="dcterms:W3CDTF">2016-12-07T08:33:00Z</dcterms:created>
  <dcterms:modified xsi:type="dcterms:W3CDTF">2016-12-07T08:33:00Z</dcterms:modified>
</cp:coreProperties>
</file>