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D9" w:rsidRDefault="002035D9"/>
    <w:p w:rsidR="00B74115" w:rsidRDefault="00B74115"/>
    <w:p w:rsidR="00B74115" w:rsidRPr="00A658DA" w:rsidRDefault="00B74115" w:rsidP="00B74115">
      <w:pPr>
        <w:numPr>
          <w:ilvl w:val="0"/>
          <w:numId w:val="1"/>
        </w:numPr>
        <w:spacing w:before="100" w:beforeAutospacing="1" w:after="100" w:afterAutospacing="1"/>
        <w:ind w:left="0"/>
        <w:rPr>
          <w:rFonts w:ascii="Georgia" w:hAnsi="Georgia"/>
        </w:rPr>
      </w:pPr>
      <w:r w:rsidRPr="00B74115">
        <w:rPr>
          <w:rFonts w:ascii="Georgia" w:hAnsi="Georgia"/>
          <w:b/>
          <w:bCs/>
        </w:rPr>
        <w:t>Do you have any general comments on</w:t>
      </w:r>
      <w:r>
        <w:rPr>
          <w:rFonts w:ascii="Georgia" w:hAnsi="Georgia"/>
          <w:b/>
          <w:bCs/>
        </w:rPr>
        <w:t xml:space="preserve"> the draft Framework for Action?</w:t>
      </w:r>
    </w:p>
    <w:p w:rsidR="00A658DA" w:rsidRPr="00B206AF" w:rsidRDefault="00B206AF" w:rsidP="00A658DA">
      <w:pPr>
        <w:spacing w:before="100" w:beforeAutospacing="1" w:after="100" w:afterAutospacing="1"/>
        <w:rPr>
          <w:rFonts w:ascii="Georgia" w:hAnsi="Georgia"/>
        </w:rPr>
      </w:pPr>
      <w:r>
        <w:rPr>
          <w:rFonts w:ascii="Georgia" w:hAnsi="Georgia"/>
          <w:bCs/>
        </w:rPr>
        <w:t>Save the Children would like to t</w:t>
      </w:r>
      <w:r w:rsidR="005D5DCB">
        <w:rPr>
          <w:rFonts w:ascii="Georgia" w:hAnsi="Georgia"/>
          <w:bCs/>
        </w:rPr>
        <w:t xml:space="preserve">hank </w:t>
      </w:r>
      <w:r w:rsidR="00A658DA" w:rsidRPr="00B206AF">
        <w:rPr>
          <w:rFonts w:ascii="Georgia" w:hAnsi="Georgia"/>
          <w:bCs/>
        </w:rPr>
        <w:t xml:space="preserve">the organisers of ICN2 for </w:t>
      </w:r>
      <w:r w:rsidR="005D5DCB">
        <w:rPr>
          <w:rFonts w:ascii="Georgia" w:hAnsi="Georgia"/>
          <w:bCs/>
        </w:rPr>
        <w:t xml:space="preserve">drafting </w:t>
      </w:r>
      <w:r w:rsidR="00A658DA" w:rsidRPr="00B206AF">
        <w:rPr>
          <w:rFonts w:ascii="Georgia" w:hAnsi="Georgia"/>
          <w:bCs/>
        </w:rPr>
        <w:t>the F</w:t>
      </w:r>
      <w:r>
        <w:rPr>
          <w:rFonts w:ascii="Georgia" w:hAnsi="Georgia"/>
          <w:bCs/>
        </w:rPr>
        <w:t>ramework for Action (F</w:t>
      </w:r>
      <w:r w:rsidR="00A658DA" w:rsidRPr="00B206AF">
        <w:rPr>
          <w:rFonts w:ascii="Georgia" w:hAnsi="Georgia"/>
          <w:bCs/>
        </w:rPr>
        <w:t>FA</w:t>
      </w:r>
      <w:r>
        <w:rPr>
          <w:rFonts w:ascii="Georgia" w:hAnsi="Georgia"/>
          <w:bCs/>
        </w:rPr>
        <w:t>)</w:t>
      </w:r>
      <w:r w:rsidR="00A658DA" w:rsidRPr="00B206AF">
        <w:rPr>
          <w:rFonts w:ascii="Georgia" w:hAnsi="Georgia"/>
          <w:bCs/>
        </w:rPr>
        <w:t xml:space="preserve"> and for the opportunity to provide comments. </w:t>
      </w:r>
    </w:p>
    <w:p w:rsidR="002F3D37" w:rsidRDefault="00B206AF" w:rsidP="00F378B4">
      <w:pPr>
        <w:spacing w:before="100" w:beforeAutospacing="1" w:after="100" w:afterAutospacing="1"/>
        <w:rPr>
          <w:rFonts w:ascii="Georgia" w:hAnsi="Georgia"/>
          <w:bCs/>
        </w:rPr>
      </w:pPr>
      <w:r>
        <w:rPr>
          <w:rFonts w:ascii="Georgia" w:hAnsi="Georgia"/>
          <w:bCs/>
        </w:rPr>
        <w:t>Save the Children supports the focus of</w:t>
      </w:r>
      <w:r w:rsidR="00CD1552">
        <w:rPr>
          <w:rFonts w:ascii="Georgia" w:hAnsi="Georgia"/>
          <w:bCs/>
        </w:rPr>
        <w:t xml:space="preserve"> the</w:t>
      </w:r>
      <w:r>
        <w:rPr>
          <w:rFonts w:ascii="Georgia" w:hAnsi="Georgia"/>
          <w:bCs/>
        </w:rPr>
        <w:t xml:space="preserve"> FFA on “malnutrition in all its forms”.  </w:t>
      </w:r>
      <w:r w:rsidR="00CD1552">
        <w:rPr>
          <w:rFonts w:ascii="Georgia" w:hAnsi="Georgia"/>
          <w:bCs/>
        </w:rPr>
        <w:t xml:space="preserve">It would be helpful if this principle was applied throughout the document. </w:t>
      </w:r>
    </w:p>
    <w:p w:rsidR="002F3D37" w:rsidRDefault="002F3D37" w:rsidP="00F378B4">
      <w:pPr>
        <w:spacing w:before="100" w:beforeAutospacing="1" w:after="100" w:afterAutospacing="1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Save the Children </w:t>
      </w:r>
      <w:r w:rsidR="00B206AF">
        <w:rPr>
          <w:rFonts w:ascii="Georgia" w:hAnsi="Georgia"/>
          <w:bCs/>
        </w:rPr>
        <w:t xml:space="preserve">feels that the draft FFA contains </w:t>
      </w:r>
      <w:r w:rsidR="00A658DA">
        <w:rPr>
          <w:rFonts w:ascii="Georgia" w:hAnsi="Georgia"/>
          <w:bCs/>
        </w:rPr>
        <w:t>lot</w:t>
      </w:r>
      <w:r w:rsidR="00B206AF">
        <w:rPr>
          <w:rFonts w:ascii="Georgia" w:hAnsi="Georgia"/>
          <w:bCs/>
        </w:rPr>
        <w:t>s</w:t>
      </w:r>
      <w:r w:rsidR="00A658DA">
        <w:rPr>
          <w:rFonts w:ascii="Georgia" w:hAnsi="Georgia"/>
          <w:bCs/>
        </w:rPr>
        <w:t xml:space="preserve"> of </w:t>
      </w:r>
      <w:r w:rsidR="003B1D21">
        <w:rPr>
          <w:rFonts w:ascii="Georgia" w:hAnsi="Georgia"/>
          <w:bCs/>
        </w:rPr>
        <w:t xml:space="preserve">background </w:t>
      </w:r>
      <w:r w:rsidR="00A658DA">
        <w:rPr>
          <w:rFonts w:ascii="Georgia" w:hAnsi="Georgia"/>
          <w:bCs/>
        </w:rPr>
        <w:t xml:space="preserve">information </w:t>
      </w:r>
      <w:r w:rsidR="003B1D21">
        <w:rPr>
          <w:rFonts w:ascii="Georgia" w:hAnsi="Georgia"/>
          <w:bCs/>
        </w:rPr>
        <w:t xml:space="preserve">that </w:t>
      </w:r>
      <w:r>
        <w:rPr>
          <w:rFonts w:ascii="Georgia" w:hAnsi="Georgia"/>
          <w:bCs/>
        </w:rPr>
        <w:t>is not</w:t>
      </w:r>
      <w:r w:rsidR="00C74042">
        <w:rPr>
          <w:rFonts w:ascii="Georgia" w:hAnsi="Georgia"/>
          <w:bCs/>
        </w:rPr>
        <w:t xml:space="preserve"> essential </w:t>
      </w:r>
      <w:r w:rsidR="003B1D21">
        <w:rPr>
          <w:rFonts w:ascii="Georgia" w:hAnsi="Georgia"/>
          <w:bCs/>
        </w:rPr>
        <w:t>to include</w:t>
      </w:r>
      <w:r>
        <w:rPr>
          <w:rFonts w:ascii="Georgia" w:hAnsi="Georgia"/>
          <w:bCs/>
        </w:rPr>
        <w:t>. Instead, the FFA should be concise and point to other relevant</w:t>
      </w:r>
      <w:r w:rsidR="003B1D21">
        <w:rPr>
          <w:rFonts w:ascii="Georgia" w:hAnsi="Georgia"/>
          <w:bCs/>
        </w:rPr>
        <w:t xml:space="preserve"> initiatives,</w:t>
      </w:r>
      <w:r>
        <w:rPr>
          <w:rFonts w:ascii="Georgia" w:hAnsi="Georgia"/>
          <w:bCs/>
        </w:rPr>
        <w:t xml:space="preserve"> documents and organisations. </w:t>
      </w:r>
    </w:p>
    <w:p w:rsidR="00E95C34" w:rsidRDefault="003B1D21" w:rsidP="00F378B4">
      <w:pPr>
        <w:spacing w:before="100" w:beforeAutospacing="1" w:after="100" w:afterAutospacing="1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Save the Children feels that the FFA should build on existing infrastructure and </w:t>
      </w:r>
      <w:r w:rsidR="007C3EFB">
        <w:rPr>
          <w:rFonts w:ascii="Georgia" w:hAnsi="Georgia"/>
          <w:bCs/>
        </w:rPr>
        <w:t xml:space="preserve">systems for nutrition. For example, the FFA should detail how it will work with and complement the efforts of the Scaling </w:t>
      </w:r>
      <w:proofErr w:type="gramStart"/>
      <w:r w:rsidR="007C3EFB">
        <w:rPr>
          <w:rFonts w:ascii="Georgia" w:hAnsi="Georgia"/>
          <w:bCs/>
        </w:rPr>
        <w:t>Up</w:t>
      </w:r>
      <w:proofErr w:type="gramEnd"/>
      <w:r w:rsidR="007C3EFB">
        <w:rPr>
          <w:rFonts w:ascii="Georgia" w:hAnsi="Georgia"/>
          <w:bCs/>
        </w:rPr>
        <w:t xml:space="preserve"> Nutrition (SUN) movement and the Glob</w:t>
      </w:r>
      <w:r w:rsidR="00E95C34">
        <w:rPr>
          <w:rFonts w:ascii="Georgia" w:hAnsi="Georgia"/>
          <w:bCs/>
        </w:rPr>
        <w:t xml:space="preserve">al Nutrition Report. </w:t>
      </w:r>
    </w:p>
    <w:p w:rsidR="002F3D37" w:rsidRDefault="002F3D37" w:rsidP="00F378B4">
      <w:pPr>
        <w:spacing w:before="100" w:beforeAutospacing="1" w:after="100" w:afterAutospacing="1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The draft FFA </w:t>
      </w:r>
      <w:r w:rsidR="00CD1552">
        <w:rPr>
          <w:rFonts w:ascii="Georgia" w:hAnsi="Georgia"/>
          <w:bCs/>
        </w:rPr>
        <w:t xml:space="preserve">as it stands </w:t>
      </w:r>
      <w:r>
        <w:rPr>
          <w:rFonts w:ascii="Georgia" w:hAnsi="Georgia"/>
          <w:bCs/>
        </w:rPr>
        <w:t xml:space="preserve">contains </w:t>
      </w:r>
      <w:r w:rsidR="00CD1552">
        <w:rPr>
          <w:rFonts w:ascii="Georgia" w:hAnsi="Georgia"/>
          <w:bCs/>
        </w:rPr>
        <w:t xml:space="preserve">too </w:t>
      </w:r>
      <w:r>
        <w:rPr>
          <w:rFonts w:ascii="Georgia" w:hAnsi="Georgia"/>
          <w:bCs/>
        </w:rPr>
        <w:t>many priority ac</w:t>
      </w:r>
      <w:r w:rsidR="00CD1552">
        <w:rPr>
          <w:rFonts w:ascii="Georgia" w:hAnsi="Georgia"/>
          <w:bCs/>
        </w:rPr>
        <w:t>tions. While Save the Children believes</w:t>
      </w:r>
      <w:r>
        <w:rPr>
          <w:rFonts w:ascii="Georgia" w:hAnsi="Georgia"/>
          <w:bCs/>
        </w:rPr>
        <w:t xml:space="preserve"> that </w:t>
      </w:r>
      <w:r w:rsidR="008D693F">
        <w:rPr>
          <w:rFonts w:ascii="Georgia" w:hAnsi="Georgia"/>
          <w:bCs/>
        </w:rPr>
        <w:t xml:space="preserve">urgent </w:t>
      </w:r>
      <w:r>
        <w:rPr>
          <w:rFonts w:ascii="Georgia" w:hAnsi="Georgia"/>
          <w:bCs/>
        </w:rPr>
        <w:t xml:space="preserve">action </w:t>
      </w:r>
      <w:r w:rsidR="00E95C34">
        <w:rPr>
          <w:rFonts w:ascii="Georgia" w:hAnsi="Georgia"/>
          <w:bCs/>
        </w:rPr>
        <w:t xml:space="preserve">on nutrition is </w:t>
      </w:r>
      <w:r>
        <w:rPr>
          <w:rFonts w:ascii="Georgia" w:hAnsi="Georgia"/>
          <w:bCs/>
        </w:rPr>
        <w:t xml:space="preserve">required, we are </w:t>
      </w:r>
      <w:r w:rsidR="00CD1552">
        <w:rPr>
          <w:rFonts w:ascii="Georgia" w:hAnsi="Georgia"/>
          <w:bCs/>
        </w:rPr>
        <w:t>concerned that the large number</w:t>
      </w:r>
      <w:r>
        <w:rPr>
          <w:rFonts w:ascii="Georgia" w:hAnsi="Georgia"/>
          <w:bCs/>
        </w:rPr>
        <w:t xml:space="preserve"> </w:t>
      </w:r>
      <w:r w:rsidR="00CD1552">
        <w:rPr>
          <w:rFonts w:ascii="Georgia" w:hAnsi="Georgia"/>
          <w:bCs/>
        </w:rPr>
        <w:t xml:space="preserve">priority actions listed in the FFA will </w:t>
      </w:r>
      <w:r w:rsidR="00E95C34">
        <w:rPr>
          <w:rFonts w:ascii="Georgia" w:hAnsi="Georgia"/>
          <w:bCs/>
        </w:rPr>
        <w:t xml:space="preserve">discourage </w:t>
      </w:r>
      <w:r w:rsidR="00CD1552">
        <w:rPr>
          <w:rFonts w:ascii="Georgia" w:hAnsi="Georgia"/>
          <w:bCs/>
        </w:rPr>
        <w:t xml:space="preserve">member states from signing up. We would also like the priority actions to be clearer and </w:t>
      </w:r>
      <w:proofErr w:type="spellStart"/>
      <w:r w:rsidR="00CD1552">
        <w:rPr>
          <w:rFonts w:ascii="Georgia" w:hAnsi="Georgia"/>
          <w:bCs/>
        </w:rPr>
        <w:t>timebound</w:t>
      </w:r>
      <w:proofErr w:type="spellEnd"/>
      <w:r w:rsidR="00CD1552">
        <w:rPr>
          <w:rFonts w:ascii="Georgia" w:hAnsi="Georgia"/>
          <w:bCs/>
        </w:rPr>
        <w:t xml:space="preserve"> to improve accountability for commitments. </w:t>
      </w:r>
    </w:p>
    <w:p w:rsidR="00A658DA" w:rsidRDefault="00A658DA" w:rsidP="00F378B4">
      <w:pPr>
        <w:spacing w:before="100" w:beforeAutospacing="1" w:after="100" w:afterAutospacing="1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ICN2 is taking </w:t>
      </w:r>
      <w:r w:rsidR="00C74042">
        <w:rPr>
          <w:rFonts w:ascii="Georgia" w:hAnsi="Georgia"/>
          <w:bCs/>
        </w:rPr>
        <w:t xml:space="preserve">place </w:t>
      </w:r>
      <w:r>
        <w:rPr>
          <w:rFonts w:ascii="Georgia" w:hAnsi="Georgia"/>
          <w:bCs/>
        </w:rPr>
        <w:t xml:space="preserve">one year </w:t>
      </w:r>
      <w:r w:rsidR="00E95C34">
        <w:rPr>
          <w:rFonts w:ascii="Georgia" w:hAnsi="Georgia"/>
          <w:bCs/>
        </w:rPr>
        <w:t xml:space="preserve">ahead of </w:t>
      </w:r>
      <w:r>
        <w:rPr>
          <w:rFonts w:ascii="Georgia" w:hAnsi="Georgia"/>
          <w:bCs/>
        </w:rPr>
        <w:t>the post-201 5 development agenda (hopefully</w:t>
      </w:r>
      <w:r w:rsidR="00CD1552">
        <w:rPr>
          <w:rFonts w:ascii="Georgia" w:hAnsi="Georgia"/>
          <w:bCs/>
        </w:rPr>
        <w:t>)</w:t>
      </w:r>
      <w:r>
        <w:rPr>
          <w:rFonts w:ascii="Georgia" w:hAnsi="Georgia"/>
          <w:bCs/>
        </w:rPr>
        <w:t xml:space="preserve"> be</w:t>
      </w:r>
      <w:r w:rsidR="00E95C34">
        <w:rPr>
          <w:rFonts w:ascii="Georgia" w:hAnsi="Georgia"/>
          <w:bCs/>
        </w:rPr>
        <w:t>ing</w:t>
      </w:r>
      <w:r>
        <w:rPr>
          <w:rFonts w:ascii="Georgia" w:hAnsi="Georgia"/>
          <w:bCs/>
        </w:rPr>
        <w:t xml:space="preserve"> agreed</w:t>
      </w:r>
      <w:r w:rsidR="00CD1552">
        <w:rPr>
          <w:rFonts w:ascii="Georgia" w:hAnsi="Georgia"/>
          <w:bCs/>
        </w:rPr>
        <w:t>. The FFA should acknowledge that ICN2 is happening in the context of the</w:t>
      </w:r>
      <w:r w:rsidR="00C74042">
        <w:rPr>
          <w:rFonts w:ascii="Georgia" w:hAnsi="Georgia"/>
          <w:bCs/>
        </w:rPr>
        <w:t xml:space="preserve"> development of the post-2015 agenda and t</w:t>
      </w:r>
      <w:r w:rsidR="00CD1552">
        <w:rPr>
          <w:rFonts w:ascii="Georgia" w:hAnsi="Georgia"/>
          <w:bCs/>
        </w:rPr>
        <w:t>here should</w:t>
      </w:r>
      <w:r w:rsidR="00C74042">
        <w:rPr>
          <w:rFonts w:ascii="Georgia" w:hAnsi="Georgia"/>
          <w:bCs/>
        </w:rPr>
        <w:t xml:space="preserve"> </w:t>
      </w:r>
      <w:r w:rsidR="00CD1552">
        <w:rPr>
          <w:rFonts w:ascii="Georgia" w:hAnsi="Georgia"/>
          <w:bCs/>
        </w:rPr>
        <w:t>be greater overlap between ICN2 and the post-2015 development agenda</w:t>
      </w:r>
      <w:r w:rsidR="005D5DCB">
        <w:rPr>
          <w:rFonts w:ascii="Georgia" w:hAnsi="Georgia"/>
          <w:bCs/>
        </w:rPr>
        <w:t xml:space="preserve"> outcomes</w:t>
      </w:r>
      <w:r w:rsidR="00CD1552">
        <w:rPr>
          <w:rFonts w:ascii="Georgia" w:hAnsi="Georgia"/>
          <w:bCs/>
        </w:rPr>
        <w:t xml:space="preserve">. </w:t>
      </w:r>
    </w:p>
    <w:p w:rsidR="00412E60" w:rsidRDefault="00412E60" w:rsidP="00F378B4">
      <w:pPr>
        <w:spacing w:before="100" w:beforeAutospacing="1" w:after="100" w:afterAutospacing="1"/>
        <w:rPr>
          <w:rFonts w:ascii="Georgia" w:hAnsi="Georgia"/>
        </w:rPr>
      </w:pPr>
      <w:r w:rsidRPr="00B74115">
        <w:rPr>
          <w:rFonts w:ascii="Georgia" w:hAnsi="Georgia"/>
          <w:b/>
          <w:bCs/>
        </w:rPr>
        <w:t>Do you have any comments on chapter 1-2?</w:t>
      </w:r>
    </w:p>
    <w:p w:rsidR="00412E60" w:rsidRPr="00412E60" w:rsidRDefault="00412E60" w:rsidP="00F378B4">
      <w:pPr>
        <w:spacing w:before="100" w:beforeAutospacing="1" w:after="100" w:afterAutospacing="1"/>
        <w:rPr>
          <w:rFonts w:ascii="Georgia" w:hAnsi="Georgia"/>
          <w:b/>
        </w:rPr>
      </w:pPr>
      <w:r w:rsidRPr="00412E60">
        <w:rPr>
          <w:rFonts w:ascii="Georgia" w:hAnsi="Georgia"/>
          <w:b/>
        </w:rPr>
        <w:t>Chapter 1</w:t>
      </w:r>
    </w:p>
    <w:p w:rsidR="00412E60" w:rsidRDefault="00412E60" w:rsidP="00F378B4">
      <w:pPr>
        <w:spacing w:before="100" w:beforeAutospacing="1" w:after="100" w:afterAutospacing="1"/>
        <w:rPr>
          <w:rFonts w:ascii="Georgia" w:hAnsi="Georgia"/>
        </w:rPr>
      </w:pPr>
      <w:r>
        <w:rPr>
          <w:rFonts w:ascii="Georgia" w:hAnsi="Georgia"/>
        </w:rPr>
        <w:t xml:space="preserve">Save the Children is interested to learn more about the ‘Decade of Action on Nutrition’. As stated above, </w:t>
      </w:r>
      <w:r w:rsidR="00C74042">
        <w:rPr>
          <w:rFonts w:ascii="Georgia" w:hAnsi="Georgia"/>
        </w:rPr>
        <w:t>we believe that urgent action is required to address</w:t>
      </w:r>
      <w:r>
        <w:rPr>
          <w:rFonts w:ascii="Georgia" w:hAnsi="Georgia"/>
        </w:rPr>
        <w:t xml:space="preserve"> </w:t>
      </w:r>
      <w:r w:rsidR="00C74042">
        <w:rPr>
          <w:rFonts w:ascii="Georgia" w:hAnsi="Georgia"/>
        </w:rPr>
        <w:t>malnutrition</w:t>
      </w:r>
      <w:r>
        <w:rPr>
          <w:rFonts w:ascii="Georgia" w:hAnsi="Georgia"/>
        </w:rPr>
        <w:t>. Detail</w:t>
      </w:r>
      <w:r w:rsidR="00C74042">
        <w:rPr>
          <w:rFonts w:ascii="Georgia" w:hAnsi="Georgia"/>
        </w:rPr>
        <w:t>s</w:t>
      </w:r>
      <w:r>
        <w:rPr>
          <w:rFonts w:ascii="Georgia" w:hAnsi="Georgia"/>
        </w:rPr>
        <w:t xml:space="preserve"> of exactly what this will involve should be included in this document. </w:t>
      </w:r>
    </w:p>
    <w:p w:rsidR="00412E60" w:rsidRDefault="00412E60" w:rsidP="00412E60">
      <w:pPr>
        <w:spacing w:before="100" w:beforeAutospacing="1" w:after="100" w:afterAutospacing="1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We strongly support the alignment of the FFA with the WHA nutrition targets. This is a very important component of the FFA. </w:t>
      </w:r>
    </w:p>
    <w:p w:rsidR="00412E60" w:rsidRPr="00412E60" w:rsidRDefault="00412E60" w:rsidP="00F378B4">
      <w:pPr>
        <w:spacing w:before="100" w:beforeAutospacing="1" w:after="100" w:afterAutospacing="1"/>
        <w:rPr>
          <w:rFonts w:ascii="Georgia" w:hAnsi="Georgia"/>
        </w:rPr>
      </w:pPr>
    </w:p>
    <w:p w:rsidR="00587FF4" w:rsidRPr="00E95C34" w:rsidRDefault="00587FF4" w:rsidP="00F378B4">
      <w:pPr>
        <w:spacing w:before="100" w:beforeAutospacing="1" w:after="100" w:afterAutospacing="1"/>
        <w:rPr>
          <w:rFonts w:ascii="Georgia" w:hAnsi="Georgia"/>
          <w:b/>
          <w:bCs/>
        </w:rPr>
      </w:pPr>
      <w:r w:rsidRPr="00E95C34">
        <w:rPr>
          <w:rFonts w:ascii="Georgia" w:hAnsi="Georgia"/>
          <w:b/>
          <w:bCs/>
        </w:rPr>
        <w:t>Chapter 2:</w:t>
      </w:r>
    </w:p>
    <w:p w:rsidR="00D16148" w:rsidRPr="00D16148" w:rsidRDefault="00D16148" w:rsidP="00D16148">
      <w:pPr>
        <w:spacing w:before="100" w:beforeAutospacing="1" w:after="100" w:afterAutospacing="1"/>
        <w:rPr>
          <w:rFonts w:ascii="Georgia" w:hAnsi="Georgia"/>
        </w:rPr>
      </w:pPr>
      <w:r w:rsidRPr="00D16148">
        <w:rPr>
          <w:rFonts w:ascii="Georgia" w:hAnsi="Georgia"/>
          <w:bCs/>
        </w:rPr>
        <w:lastRenderedPageBreak/>
        <w:t xml:space="preserve">In addition to the four key elements of the enabling environment listed, we would add the need for strong and transparent accountability </w:t>
      </w:r>
      <w:r w:rsidR="00C74042">
        <w:rPr>
          <w:rFonts w:ascii="Georgia" w:hAnsi="Georgia"/>
          <w:bCs/>
        </w:rPr>
        <w:t xml:space="preserve">mechanisms </w:t>
      </w:r>
      <w:r w:rsidRPr="00D16148">
        <w:rPr>
          <w:rFonts w:ascii="Georgia" w:hAnsi="Georgia"/>
          <w:bCs/>
        </w:rPr>
        <w:t xml:space="preserve">to be in place. </w:t>
      </w:r>
    </w:p>
    <w:p w:rsidR="005D5DCB" w:rsidRDefault="00C76F78" w:rsidP="00C76F78">
      <w:pPr>
        <w:spacing w:before="100" w:beforeAutospacing="1" w:after="100" w:afterAutospacing="1"/>
        <w:rPr>
          <w:rFonts w:ascii="Georgia" w:hAnsi="Georgia"/>
        </w:rPr>
      </w:pPr>
      <w:r>
        <w:rPr>
          <w:rFonts w:ascii="Georgia" w:hAnsi="Georgia"/>
        </w:rPr>
        <w:t>Under ‘2.2 Better governance for nutrition’ we support the priority actions around establishing cross-government, inter-</w:t>
      </w:r>
      <w:proofErr w:type="spellStart"/>
      <w:r>
        <w:rPr>
          <w:rFonts w:ascii="Georgia" w:hAnsi="Georgia"/>
        </w:rPr>
        <w:t>sectoral</w:t>
      </w:r>
      <w:proofErr w:type="spellEnd"/>
      <w:r>
        <w:rPr>
          <w:rFonts w:ascii="Georgia" w:hAnsi="Georgia"/>
        </w:rPr>
        <w:t xml:space="preserve"> governance mechanisms and also multi-stakeholder platforms. </w:t>
      </w:r>
      <w:r w:rsidR="005D5DCB">
        <w:rPr>
          <w:rFonts w:ascii="Georgia" w:hAnsi="Georgia"/>
        </w:rPr>
        <w:t xml:space="preserve"> ICN2 is a chance to bring together relevant government ministries to work on nutrition. This should be a priority of the conference. </w:t>
      </w:r>
    </w:p>
    <w:p w:rsidR="00C76F78" w:rsidRDefault="00C76F78" w:rsidP="00C76F78">
      <w:pPr>
        <w:spacing w:before="100" w:beforeAutospacing="1" w:after="100" w:afterAutospacing="1"/>
        <w:rPr>
          <w:rFonts w:ascii="Georgia" w:hAnsi="Georgia"/>
        </w:rPr>
      </w:pPr>
      <w:r>
        <w:rPr>
          <w:rFonts w:ascii="Georgia" w:hAnsi="Georgia"/>
        </w:rPr>
        <w:t>We support ‘Priority actions for financing for improved nutrition outcomes’.</w:t>
      </w:r>
    </w:p>
    <w:p w:rsidR="00C76F78" w:rsidRPr="005D5DCB" w:rsidRDefault="00FC292D" w:rsidP="00C76F78">
      <w:pPr>
        <w:spacing w:before="100" w:beforeAutospacing="1" w:after="100" w:afterAutospacing="1"/>
        <w:rPr>
          <w:rFonts w:ascii="Georgia" w:hAnsi="Georgia"/>
          <w:b/>
        </w:rPr>
      </w:pPr>
      <w:r w:rsidRPr="005D5DCB">
        <w:rPr>
          <w:rFonts w:ascii="Georgia" w:hAnsi="Georgia"/>
          <w:b/>
        </w:rPr>
        <w:t>Chapter 3</w:t>
      </w:r>
    </w:p>
    <w:p w:rsidR="00EF5E72" w:rsidRDefault="00FC292D" w:rsidP="00C76F78">
      <w:pPr>
        <w:spacing w:before="100" w:beforeAutospacing="1" w:after="100" w:afterAutospacing="1"/>
        <w:rPr>
          <w:rFonts w:ascii="Georgia" w:hAnsi="Georgia"/>
        </w:rPr>
      </w:pPr>
      <w:r>
        <w:rPr>
          <w:rFonts w:ascii="Georgia" w:hAnsi="Georgia"/>
        </w:rPr>
        <w:t>We welcome the inclusion of both direct and nutrition-sensitive interventions in chapter 3</w:t>
      </w:r>
      <w:r w:rsidR="005D5DCB">
        <w:rPr>
          <w:rFonts w:ascii="Georgia" w:hAnsi="Georgia"/>
        </w:rPr>
        <w:t>,</w:t>
      </w:r>
      <w:r>
        <w:rPr>
          <w:rFonts w:ascii="Georgia" w:hAnsi="Georgia"/>
        </w:rPr>
        <w:t xml:space="preserve"> however we feel that the current layout is a little </w:t>
      </w:r>
      <w:r w:rsidR="00160218">
        <w:rPr>
          <w:rFonts w:ascii="Georgia" w:hAnsi="Georgia"/>
        </w:rPr>
        <w:t xml:space="preserve">confusing and there are too many priority actions. We suggest prioritising </w:t>
      </w:r>
      <w:r w:rsidR="00CA640E">
        <w:rPr>
          <w:rFonts w:ascii="Georgia" w:hAnsi="Georgia"/>
        </w:rPr>
        <w:t>commitments towards direct nutrition interventions and also the need to review and integrate nutrition into other relevant sector policies, such as agriculture, education</w:t>
      </w:r>
      <w:r w:rsidR="005D5DCB">
        <w:rPr>
          <w:rFonts w:ascii="Georgia" w:hAnsi="Georgia"/>
        </w:rPr>
        <w:t>, WASH</w:t>
      </w:r>
      <w:r w:rsidR="00CA640E">
        <w:rPr>
          <w:rFonts w:ascii="Georgia" w:hAnsi="Georgia"/>
        </w:rPr>
        <w:t xml:space="preserve"> and social protection.</w:t>
      </w:r>
    </w:p>
    <w:p w:rsidR="00FC292D" w:rsidRPr="005D5DCB" w:rsidRDefault="00EF5E72" w:rsidP="00C76F78">
      <w:pPr>
        <w:spacing w:before="100" w:beforeAutospacing="1" w:after="100" w:afterAutospacing="1"/>
        <w:rPr>
          <w:rFonts w:ascii="Georgia" w:hAnsi="Georgia"/>
          <w:b/>
        </w:rPr>
      </w:pPr>
      <w:r w:rsidRPr="005D5DCB">
        <w:rPr>
          <w:rFonts w:ascii="Georgia" w:hAnsi="Georgia"/>
          <w:b/>
        </w:rPr>
        <w:t>Chapter 4</w:t>
      </w:r>
      <w:r w:rsidR="00CA640E" w:rsidRPr="005D5DCB">
        <w:rPr>
          <w:rFonts w:ascii="Georgia" w:hAnsi="Georgia"/>
          <w:b/>
        </w:rPr>
        <w:t xml:space="preserve"> </w:t>
      </w:r>
    </w:p>
    <w:p w:rsidR="00C37F74" w:rsidRDefault="005D5DCB" w:rsidP="00E95C34">
      <w:pPr>
        <w:spacing w:before="100" w:beforeAutospacing="1" w:after="100" w:afterAutospacing="1"/>
        <w:rPr>
          <w:rFonts w:ascii="Georgia" w:hAnsi="Georgia"/>
          <w:bCs/>
        </w:rPr>
      </w:pPr>
      <w:r w:rsidRPr="005D5DCB">
        <w:rPr>
          <w:rFonts w:ascii="Georgia" w:hAnsi="Georgia"/>
          <w:bCs/>
        </w:rPr>
        <w:t xml:space="preserve">We strongly suggest that the ICN2 </w:t>
      </w:r>
      <w:proofErr w:type="gramStart"/>
      <w:r w:rsidRPr="005D5DCB">
        <w:rPr>
          <w:rFonts w:ascii="Georgia" w:hAnsi="Georgia"/>
          <w:bCs/>
        </w:rPr>
        <w:t xml:space="preserve">accountability </w:t>
      </w:r>
      <w:r>
        <w:rPr>
          <w:rFonts w:ascii="Georgia" w:hAnsi="Georgia"/>
          <w:bCs/>
        </w:rPr>
        <w:t xml:space="preserve"> framework</w:t>
      </w:r>
      <w:proofErr w:type="gramEnd"/>
      <w:r>
        <w:rPr>
          <w:rFonts w:ascii="Georgia" w:hAnsi="Georgia"/>
          <w:bCs/>
        </w:rPr>
        <w:t xml:space="preserve"> be integrated in</w:t>
      </w:r>
      <w:r w:rsidR="00C37F74">
        <w:rPr>
          <w:rFonts w:ascii="Georgia" w:hAnsi="Georgia"/>
          <w:bCs/>
        </w:rPr>
        <w:t xml:space="preserve">to the Global Nutrition Report and other existing structures, such as SUN and the Global Panel on Agriculture and Food Systems for Nutrition. </w:t>
      </w:r>
    </w:p>
    <w:p w:rsidR="00C37F74" w:rsidRDefault="00C37F74" w:rsidP="00E95C34">
      <w:pPr>
        <w:spacing w:before="100" w:beforeAutospacing="1" w:after="100" w:afterAutospacing="1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The organisers of ICN2, together with other relevant UN agencies, should organise regular follow-up meetings to check progress against the commitments made. </w:t>
      </w:r>
    </w:p>
    <w:p w:rsidR="00E95C34" w:rsidRDefault="00C37F74" w:rsidP="00E95C34">
      <w:pPr>
        <w:spacing w:before="100" w:beforeAutospacing="1" w:after="100" w:afterAutospacing="1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The accountability framework should be developed in the context of the post-2015 development agenda discussions and outline how the two processes will align. </w:t>
      </w:r>
    </w:p>
    <w:p w:rsidR="00C37F74" w:rsidRPr="005D5DCB" w:rsidRDefault="00C37F74" w:rsidP="00E95C34">
      <w:pPr>
        <w:spacing w:before="100" w:beforeAutospacing="1" w:after="100" w:afterAutospacing="1"/>
        <w:rPr>
          <w:rFonts w:ascii="Georgia" w:hAnsi="Georgia"/>
        </w:rPr>
      </w:pPr>
      <w:r>
        <w:rPr>
          <w:rFonts w:ascii="Georgia" w:hAnsi="Georgia"/>
          <w:bCs/>
        </w:rPr>
        <w:t xml:space="preserve">Save the Children believes that the Global Panel proposed in the FFA has a different remit to the Global Panel on Agriculture and Food Systems for Nutrition but this should be clarified. </w:t>
      </w:r>
    </w:p>
    <w:p w:rsidR="00B74115" w:rsidRDefault="00B74115"/>
    <w:sectPr w:rsidR="00B74115" w:rsidSect="00A45AA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F1ABC"/>
    <w:multiLevelType w:val="hybridMultilevel"/>
    <w:tmpl w:val="D1A67D80"/>
    <w:lvl w:ilvl="0" w:tplc="7C229AB0">
      <w:numFmt w:val="bullet"/>
      <w:lvlText w:val="-"/>
      <w:lvlJc w:val="left"/>
      <w:pPr>
        <w:ind w:left="405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B65BC1"/>
    <w:multiLevelType w:val="multilevel"/>
    <w:tmpl w:val="87B6F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8C67AA"/>
    <w:multiLevelType w:val="multilevel"/>
    <w:tmpl w:val="47E0B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6D1C9A"/>
    <w:multiLevelType w:val="multilevel"/>
    <w:tmpl w:val="DBB2B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2"/>
    </w:lvlOverride>
  </w:num>
  <w:num w:numId="4">
    <w:abstractNumId w:val="2"/>
    <w:lvlOverride w:ilvl="0">
      <w:startOverride w:val="3"/>
    </w:lvlOverride>
  </w:num>
  <w:num w:numId="5">
    <w:abstractNumId w:val="2"/>
    <w:lvlOverride w:ilvl="0">
      <w:startOverride w:val="4"/>
    </w:lvlOverride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B74115"/>
    <w:rsid w:val="00160218"/>
    <w:rsid w:val="0019442F"/>
    <w:rsid w:val="002035D9"/>
    <w:rsid w:val="002F3D37"/>
    <w:rsid w:val="003B1D21"/>
    <w:rsid w:val="00412E60"/>
    <w:rsid w:val="004B479A"/>
    <w:rsid w:val="00587FF4"/>
    <w:rsid w:val="005D5DCB"/>
    <w:rsid w:val="00676D55"/>
    <w:rsid w:val="007C3EFB"/>
    <w:rsid w:val="008D1DC2"/>
    <w:rsid w:val="008D693F"/>
    <w:rsid w:val="009472F3"/>
    <w:rsid w:val="00A45AA0"/>
    <w:rsid w:val="00A658DA"/>
    <w:rsid w:val="00B206AF"/>
    <w:rsid w:val="00B74115"/>
    <w:rsid w:val="00C37F74"/>
    <w:rsid w:val="00C74042"/>
    <w:rsid w:val="00C76F78"/>
    <w:rsid w:val="00CA640E"/>
    <w:rsid w:val="00CD1552"/>
    <w:rsid w:val="00D16148"/>
    <w:rsid w:val="00E6459F"/>
    <w:rsid w:val="00E95C34"/>
    <w:rsid w:val="00EF5E72"/>
    <w:rsid w:val="00F378B4"/>
    <w:rsid w:val="00FB2492"/>
    <w:rsid w:val="00FC2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AA0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ReplyStyle">
    <w:name w:val="Personal Reply Style"/>
    <w:basedOn w:val="DefaultParagraphFont"/>
    <w:rsid w:val="00A45AA0"/>
    <w:rPr>
      <w:rFonts w:ascii="Arial" w:hAnsi="Arial" w:cs="Arial"/>
      <w:color w:val="auto"/>
      <w:sz w:val="20"/>
    </w:rPr>
  </w:style>
  <w:style w:type="character" w:customStyle="1" w:styleId="PersonalComposeStyle">
    <w:name w:val="Personal Compose Style"/>
    <w:basedOn w:val="DefaultParagraphFont"/>
    <w:rsid w:val="00A45AA0"/>
    <w:rPr>
      <w:rFonts w:ascii="Arial" w:hAnsi="Arial" w:cs="Arial"/>
      <w:color w:val="auto"/>
      <w:sz w:val="20"/>
    </w:rPr>
  </w:style>
  <w:style w:type="character" w:styleId="Strong">
    <w:name w:val="Strong"/>
    <w:basedOn w:val="DefaultParagraphFont"/>
    <w:uiPriority w:val="22"/>
    <w:qFormat/>
    <w:rsid w:val="00B7411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741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74115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paragraph" w:styleId="NoSpacing">
    <w:name w:val="No Spacing"/>
    <w:basedOn w:val="Normal"/>
    <w:uiPriority w:val="1"/>
    <w:qFormat/>
    <w:rsid w:val="00E95C34"/>
    <w:rPr>
      <w:rFonts w:ascii="Calibri" w:eastAsiaTheme="minorHAns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character" w:styleId="Strong">
    <w:name w:val="Strong"/>
    <w:basedOn w:val="DefaultParagraphFont"/>
    <w:uiPriority w:val="22"/>
    <w:qFormat/>
    <w:rsid w:val="00B7411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741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74115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paragraph" w:styleId="NoSpacing">
    <w:name w:val="No Spacing"/>
    <w:basedOn w:val="Normal"/>
    <w:uiPriority w:val="1"/>
    <w:qFormat/>
    <w:rsid w:val="00E95C34"/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0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4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603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Save The Children</Company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Rumsby</dc:creator>
  <cp:lastModifiedBy>Marie</cp:lastModifiedBy>
  <cp:revision>7</cp:revision>
  <dcterms:created xsi:type="dcterms:W3CDTF">2014-08-14T16:30:00Z</dcterms:created>
  <dcterms:modified xsi:type="dcterms:W3CDTF">2014-08-17T13:02:00Z</dcterms:modified>
</cp:coreProperties>
</file>