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5CEE20" w14:textId="77777777" w:rsidR="00811399" w:rsidRDefault="00811399" w:rsidP="00CA5E2A">
      <w:pPr>
        <w:pStyle w:val="NoSpacing"/>
        <w:rPr>
          <w:rFonts w:cs="Knockout-32JuniorCruisewt"/>
          <w:b/>
        </w:rPr>
      </w:pPr>
      <w:r w:rsidRPr="00A575C9">
        <w:rPr>
          <w:rFonts w:cs="Knockout-32JuniorCruisewt"/>
          <w:b/>
        </w:rPr>
        <w:t xml:space="preserve">Comments to the Second International Conference on Nutrition (ICN2) Framework for Action from the Global Network for Neglected Tropical Diseases </w:t>
      </w:r>
    </w:p>
    <w:p w14:paraId="2CC28F96" w14:textId="77777777" w:rsidR="00086017" w:rsidRDefault="00086017" w:rsidP="00CA5E2A">
      <w:pPr>
        <w:pStyle w:val="NoSpacing"/>
        <w:jc w:val="right"/>
        <w:rPr>
          <w:lang w:val="en-GB"/>
        </w:rPr>
      </w:pPr>
    </w:p>
    <w:p w14:paraId="19281912" w14:textId="77777777" w:rsidR="00811399" w:rsidRPr="003D344C" w:rsidRDefault="00811399" w:rsidP="00CA5E2A">
      <w:pPr>
        <w:pStyle w:val="NoSpacing"/>
        <w:jc w:val="right"/>
        <w:rPr>
          <w:lang w:val="en-GB"/>
        </w:rPr>
      </w:pPr>
      <w:r>
        <w:rPr>
          <w:lang w:val="en-GB"/>
        </w:rPr>
        <w:t>POC: Amber Cashwell, Senior Policy Officer</w:t>
      </w:r>
    </w:p>
    <w:p w14:paraId="32567A0B" w14:textId="0F353B18" w:rsidR="00811399" w:rsidRPr="003D344C" w:rsidRDefault="00811399" w:rsidP="00CA5E2A">
      <w:pPr>
        <w:pStyle w:val="NoSpacing"/>
        <w:jc w:val="right"/>
        <w:rPr>
          <w:lang w:val="en-GB"/>
        </w:rPr>
      </w:pPr>
      <w:r w:rsidRPr="003D344C">
        <w:rPr>
          <w:lang w:val="en-GB"/>
        </w:rPr>
        <w:t>The Global Network for Neglected Tropical Diseases</w:t>
      </w:r>
      <w:r>
        <w:rPr>
          <w:lang w:val="en-GB"/>
        </w:rPr>
        <w:t xml:space="preserve">/Sabin Vaccine Institute </w:t>
      </w:r>
    </w:p>
    <w:p w14:paraId="3A94BBCF" w14:textId="0828B9C6" w:rsidR="00811399" w:rsidRPr="003D344C" w:rsidRDefault="00811399" w:rsidP="00CA5E2A">
      <w:pPr>
        <w:pStyle w:val="NoSpacing"/>
        <w:jc w:val="right"/>
        <w:rPr>
          <w:lang w:val="en-GB"/>
        </w:rPr>
      </w:pPr>
      <w:r w:rsidRPr="003D344C">
        <w:rPr>
          <w:lang w:val="en-GB"/>
        </w:rPr>
        <w:t xml:space="preserve">2000 Pennsylvania Ave NW, Suite 7100, Washington DC 20006 </w:t>
      </w:r>
    </w:p>
    <w:p w14:paraId="5889EA52" w14:textId="1D6BA14C" w:rsidR="003D344C" w:rsidRDefault="007A5A36" w:rsidP="00CA5E2A">
      <w:pPr>
        <w:pStyle w:val="NoSpacing"/>
        <w:jc w:val="right"/>
      </w:pPr>
      <w:hyperlink r:id="rId7" w:history="1">
        <w:r w:rsidR="00811399" w:rsidRPr="003D344C">
          <w:rPr>
            <w:rStyle w:val="Hyperlink"/>
            <w:lang w:val="en-GB"/>
          </w:rPr>
          <w:t>Amber.Cashwell@sabin.org</w:t>
        </w:r>
      </w:hyperlink>
    </w:p>
    <w:p w14:paraId="17775694" w14:textId="4FD7FF19" w:rsidR="003D344C" w:rsidRDefault="003D344C" w:rsidP="00CA5E2A">
      <w:pPr>
        <w:pStyle w:val="NoSpacing"/>
      </w:pPr>
    </w:p>
    <w:p w14:paraId="442D69CA" w14:textId="7AAED508" w:rsidR="003D344C" w:rsidRPr="005338DE" w:rsidRDefault="003D344C" w:rsidP="00CA5E2A">
      <w:pPr>
        <w:pBdr>
          <w:bottom w:val="single" w:sz="4" w:space="1" w:color="auto"/>
        </w:pBdr>
        <w:spacing w:line="240" w:lineRule="auto"/>
        <w:rPr>
          <w:b/>
        </w:rPr>
      </w:pPr>
    </w:p>
    <w:p w14:paraId="26EDEB43" w14:textId="77777777" w:rsidR="00B8548E" w:rsidRDefault="00B8548E" w:rsidP="00B8548E">
      <w:pPr>
        <w:pStyle w:val="NoSpacing"/>
        <w:rPr>
          <w:rFonts w:eastAsia="Times New Roman" w:cs="Times New Roman"/>
          <w:bCs/>
          <w:color w:val="000000"/>
        </w:rPr>
      </w:pPr>
      <w:r>
        <w:rPr>
          <w:rFonts w:eastAsia="Times New Roman" w:cs="Times New Roman"/>
          <w:bCs/>
          <w:color w:val="000000"/>
        </w:rPr>
        <w:t>The Global Network for Neglected Tropical Diseases welcomes the opportunity to provide comments and inputs on the Framework of Action.</w:t>
      </w:r>
    </w:p>
    <w:p w14:paraId="6A1ABB56" w14:textId="77777777" w:rsidR="0000593C" w:rsidRDefault="0000593C" w:rsidP="00CA5E2A">
      <w:pPr>
        <w:spacing w:after="0" w:line="240" w:lineRule="auto"/>
        <w:rPr>
          <w:rFonts w:cs="Knockout 32 Junior Cruisewt"/>
        </w:rPr>
      </w:pPr>
    </w:p>
    <w:p w14:paraId="39B8F136" w14:textId="4B7CE388" w:rsidR="0000593C" w:rsidRDefault="00B82A2F" w:rsidP="00CA5E2A">
      <w:pPr>
        <w:pStyle w:val="NoSpacing"/>
        <w:rPr>
          <w:b/>
        </w:rPr>
      </w:pPr>
      <w:r>
        <w:rPr>
          <w:b/>
        </w:rPr>
        <w:t>3.3 – Health</w:t>
      </w:r>
    </w:p>
    <w:p w14:paraId="36A23D3C" w14:textId="731DC252" w:rsidR="008426D8" w:rsidRPr="00B82A2F" w:rsidRDefault="00B82A2F" w:rsidP="00CA5E2A">
      <w:pPr>
        <w:pStyle w:val="NoSpacing"/>
        <w:rPr>
          <w:rFonts w:cs="Knockout-32JuniorCruisewt"/>
        </w:rPr>
      </w:pPr>
      <w:r>
        <w:rPr>
          <w:rFonts w:cs="Knockout-32JuniorCruisewt"/>
        </w:rPr>
        <w:t xml:space="preserve">Strong health systems can help expand access to deworming treatments among populations living in areas endemic for neglected tropical diseases (NTDs), including more than </w:t>
      </w:r>
      <w:r w:rsidRPr="00511F4F">
        <w:t>870 million</w:t>
      </w:r>
      <w:r>
        <w:t xml:space="preserve"> children</w:t>
      </w:r>
      <w:r>
        <w:rPr>
          <w:rStyle w:val="EndnoteReference"/>
        </w:rPr>
        <w:endnoteReference w:id="1"/>
      </w:r>
      <w:r w:rsidRPr="00511F4F">
        <w:t xml:space="preserve"> </w:t>
      </w:r>
      <w:r>
        <w:t xml:space="preserve">who </w:t>
      </w:r>
      <w:r w:rsidRPr="00511F4F">
        <w:t>are at risk for intestinal worm infections</w:t>
      </w:r>
      <w:r w:rsidRPr="003E6A3F">
        <w:rPr>
          <w:rStyle w:val="EndnoteReference"/>
          <w:rFonts w:cs="Knockout 32 Junior Cruisewt"/>
        </w:rPr>
        <w:endnoteReference w:id="2"/>
      </w:r>
      <w:r w:rsidRPr="00C50A96">
        <w:rPr>
          <w:rFonts w:cs="Knockout 32 Junior Cruisewt"/>
        </w:rPr>
        <w:t xml:space="preserve"> and another 240 million pe</w:t>
      </w:r>
      <w:r w:rsidR="000540C6">
        <w:rPr>
          <w:rFonts w:cs="Knockout 32 Junior Cruisewt"/>
        </w:rPr>
        <w:t>ople, including pregnant women,</w:t>
      </w:r>
      <w:r>
        <w:rPr>
          <w:rStyle w:val="EndnoteReference"/>
          <w:rFonts w:cs="Knockout 32 Junior Cruisewt"/>
        </w:rPr>
        <w:endnoteReference w:id="3"/>
      </w:r>
      <w:r w:rsidRPr="00C50A96">
        <w:rPr>
          <w:rFonts w:cs="Knockout 32 Junior Cruisewt"/>
        </w:rPr>
        <w:t xml:space="preserve"> who are afflicted by schistosomiasis.</w:t>
      </w:r>
      <w:r w:rsidRPr="00C50A96">
        <w:rPr>
          <w:rStyle w:val="EndnoteReference"/>
          <w:shd w:val="clear" w:color="auto" w:fill="FFFFFF"/>
        </w:rPr>
        <w:endnoteReference w:id="4"/>
      </w:r>
      <w:r>
        <w:rPr>
          <w:rFonts w:cs="Knockout 32 Junior Cruisewt"/>
        </w:rPr>
        <w:t xml:space="preserve"> </w:t>
      </w:r>
      <w:r w:rsidR="008426D8">
        <w:rPr>
          <w:rFonts w:cs="Knockout-32JuniorCruisewt"/>
        </w:rPr>
        <w:t xml:space="preserve">In addition to hindering progress towards improved nutrition, </w:t>
      </w:r>
      <w:r w:rsidR="00B8548E">
        <w:rPr>
          <w:rFonts w:cs="Knockout-32JuniorCruisewt"/>
        </w:rPr>
        <w:t xml:space="preserve">NTDs </w:t>
      </w:r>
      <w:r w:rsidR="008426D8">
        <w:rPr>
          <w:rFonts w:cs="Knockout-32JuniorCruisewt"/>
        </w:rPr>
        <w:t xml:space="preserve">undercut efforts to improve other areas of development, including education, worker productivity, </w:t>
      </w:r>
      <w:r w:rsidR="00B8548E">
        <w:rPr>
          <w:rFonts w:cs="Knockout-32JuniorCruisewt"/>
        </w:rPr>
        <w:t>economic growth</w:t>
      </w:r>
      <w:r w:rsidR="0034473D">
        <w:rPr>
          <w:rFonts w:cs="Knockout-32JuniorCruisewt"/>
        </w:rPr>
        <w:t>,</w:t>
      </w:r>
      <w:r w:rsidR="00B8548E">
        <w:rPr>
          <w:rFonts w:cs="Knockout-32JuniorCruisewt"/>
        </w:rPr>
        <w:t xml:space="preserve"> </w:t>
      </w:r>
      <w:r w:rsidR="008426D8">
        <w:rPr>
          <w:rFonts w:cs="Knockout-32JuniorCruisewt"/>
        </w:rPr>
        <w:t xml:space="preserve">poverty and inequality. </w:t>
      </w:r>
    </w:p>
    <w:p w14:paraId="6557B6D6" w14:textId="77777777" w:rsidR="008426D8" w:rsidRDefault="008426D8" w:rsidP="00CA5E2A">
      <w:pPr>
        <w:pStyle w:val="NoSpacing"/>
        <w:rPr>
          <w:rFonts w:cs="Knockout 32 Junior Cruisewt"/>
        </w:rPr>
      </w:pPr>
    </w:p>
    <w:p w14:paraId="3050EA4B" w14:textId="2DBDD632" w:rsidR="008426D8" w:rsidRDefault="008426D8" w:rsidP="00CA5E2A">
      <w:pPr>
        <w:autoSpaceDE w:val="0"/>
        <w:autoSpaceDN w:val="0"/>
        <w:adjustRightInd w:val="0"/>
        <w:spacing w:after="0" w:line="240" w:lineRule="auto"/>
        <w:rPr>
          <w:rFonts w:cs="Calibri"/>
        </w:rPr>
      </w:pPr>
      <w:r>
        <w:rPr>
          <w:rFonts w:cs="Calibri"/>
        </w:rPr>
        <w:t>The Framework for Action notes that “investment in, and scaling up of, nutrition-specific interventions is required in three key areas: optimal infant and young child feeding, addressing micronutrient deficiencies and improving maternal nutritional stat</w:t>
      </w:r>
      <w:r w:rsidR="00A36467">
        <w:rPr>
          <w:rFonts w:cs="Calibri"/>
        </w:rPr>
        <w:t>us before and during pregnancy.</w:t>
      </w:r>
      <w:r>
        <w:rPr>
          <w:rFonts w:cs="Calibri"/>
        </w:rPr>
        <w:t>“ (p16)</w:t>
      </w:r>
    </w:p>
    <w:p w14:paraId="3137CEFA" w14:textId="77777777" w:rsidR="008426D8" w:rsidRDefault="008426D8" w:rsidP="00CA5E2A">
      <w:pPr>
        <w:pStyle w:val="NoSpacing"/>
        <w:rPr>
          <w:rFonts w:cs="Knockout 32 Junior Cruisewt"/>
        </w:rPr>
      </w:pPr>
    </w:p>
    <w:p w14:paraId="6407AD4E" w14:textId="3BC44D64" w:rsidR="005918E6" w:rsidRPr="00D20FEA" w:rsidRDefault="005918E6" w:rsidP="00CA5E2A">
      <w:pPr>
        <w:autoSpaceDE w:val="0"/>
        <w:autoSpaceDN w:val="0"/>
        <w:adjustRightInd w:val="0"/>
        <w:spacing w:after="0" w:line="240" w:lineRule="auto"/>
        <w:rPr>
          <w:b/>
          <w:bCs/>
        </w:rPr>
      </w:pPr>
      <w:r w:rsidRPr="00D20FEA">
        <w:rPr>
          <w:b/>
          <w:bCs/>
        </w:rPr>
        <w:t>G</w:t>
      </w:r>
      <w:r w:rsidR="0034473D" w:rsidRPr="00D20FEA">
        <w:rPr>
          <w:b/>
          <w:bCs/>
        </w:rPr>
        <w:t xml:space="preserve">iven the severe consequences that </w:t>
      </w:r>
      <w:r w:rsidRPr="00D20FEA">
        <w:rPr>
          <w:b/>
          <w:bCs/>
        </w:rPr>
        <w:t xml:space="preserve">Intestinal worm infections (specifically hookworm, whipworm and roundworm) and </w:t>
      </w:r>
      <w:r w:rsidRPr="00D20FEA">
        <w:rPr>
          <w:rFonts w:cs="Knockout 32 Junior Cruisewt"/>
          <w:b/>
        </w:rPr>
        <w:t>schistosomiasis</w:t>
      </w:r>
      <w:r w:rsidR="0034473D" w:rsidRPr="00D20FEA">
        <w:rPr>
          <w:rFonts w:cs="Knockout 32 Junior Cruisewt"/>
          <w:b/>
        </w:rPr>
        <w:t xml:space="preserve"> (</w:t>
      </w:r>
      <w:r w:rsidRPr="00D20FEA">
        <w:rPr>
          <w:b/>
          <w:bCs/>
        </w:rPr>
        <w:t>a waterborne parasitic disease</w:t>
      </w:r>
      <w:r w:rsidR="0034473D" w:rsidRPr="00D20FEA">
        <w:rPr>
          <w:b/>
          <w:bCs/>
        </w:rPr>
        <w:t>)</w:t>
      </w:r>
      <w:r w:rsidRPr="00D20FEA">
        <w:rPr>
          <w:b/>
          <w:bCs/>
        </w:rPr>
        <w:t xml:space="preserve"> </w:t>
      </w:r>
      <w:r w:rsidR="00874464">
        <w:rPr>
          <w:b/>
          <w:bCs/>
        </w:rPr>
        <w:t>have</w:t>
      </w:r>
      <w:r w:rsidR="0034473D" w:rsidRPr="00D20FEA">
        <w:rPr>
          <w:b/>
          <w:bCs/>
        </w:rPr>
        <w:t xml:space="preserve"> on these areas, we recommend the following:</w:t>
      </w:r>
      <w:r w:rsidRPr="00D20FEA">
        <w:rPr>
          <w:b/>
          <w:bCs/>
        </w:rPr>
        <w:t xml:space="preserve"> </w:t>
      </w:r>
    </w:p>
    <w:p w14:paraId="33B9BAF6" w14:textId="77777777" w:rsidR="005918E6" w:rsidRDefault="005918E6" w:rsidP="00CA5E2A">
      <w:pPr>
        <w:autoSpaceDE w:val="0"/>
        <w:autoSpaceDN w:val="0"/>
        <w:adjustRightInd w:val="0"/>
        <w:spacing w:after="0" w:line="240" w:lineRule="auto"/>
        <w:rPr>
          <w:rFonts w:cs="Calibri"/>
          <w:b/>
        </w:rPr>
      </w:pPr>
    </w:p>
    <w:p w14:paraId="2F4B1EE4" w14:textId="20D7D357" w:rsidR="00D20FEA" w:rsidRPr="00D20FEA" w:rsidRDefault="00D20FEA" w:rsidP="00CA5E2A">
      <w:pPr>
        <w:autoSpaceDE w:val="0"/>
        <w:autoSpaceDN w:val="0"/>
        <w:adjustRightInd w:val="0"/>
        <w:spacing w:after="0" w:line="240" w:lineRule="auto"/>
        <w:rPr>
          <w:rFonts w:cs="Calibri"/>
          <w:b/>
        </w:rPr>
      </w:pPr>
      <w:r>
        <w:rPr>
          <w:rFonts w:cs="Calibri"/>
          <w:b/>
        </w:rPr>
        <w:t>3.2.1 Delivery of effective nutrition interventions</w:t>
      </w:r>
    </w:p>
    <w:p w14:paraId="577F3C9F" w14:textId="6E7312FE" w:rsidR="00D20FEA" w:rsidRPr="000540C6" w:rsidRDefault="005918E6" w:rsidP="000540C6">
      <w:pPr>
        <w:pStyle w:val="NoSpacing"/>
        <w:numPr>
          <w:ilvl w:val="0"/>
          <w:numId w:val="14"/>
        </w:numPr>
        <w:rPr>
          <w:rFonts w:cs="Knockout-32JuniorCruisewt"/>
          <w:b/>
        </w:rPr>
      </w:pPr>
      <w:r w:rsidRPr="00D20FEA">
        <w:rPr>
          <w:rFonts w:cs="Knockout-32JuniorCruisewt"/>
          <w:b/>
        </w:rPr>
        <w:t>Add deworming as a priority ac</w:t>
      </w:r>
      <w:r w:rsidR="00D20FEA">
        <w:rPr>
          <w:rFonts w:cs="Knockout-32JuniorCruisewt"/>
          <w:b/>
        </w:rPr>
        <w:t>tion to address wasting (p 16) and e</w:t>
      </w:r>
      <w:r w:rsidRPr="00D20FEA">
        <w:rPr>
          <w:rFonts w:cs="Knockout-32JuniorCruisewt"/>
          <w:b/>
        </w:rPr>
        <w:t>nsure that addressing intestinal worms remain included in the priority actions to address stunting</w:t>
      </w:r>
      <w:r w:rsidR="00D20FEA">
        <w:rPr>
          <w:rFonts w:cs="Knockout-32JuniorCruisewt"/>
          <w:b/>
        </w:rPr>
        <w:t xml:space="preserve"> (p 17)</w:t>
      </w:r>
      <w:r w:rsidRPr="00D20FEA">
        <w:rPr>
          <w:rFonts w:cs="Knockout-32JuniorCruisewt"/>
          <w:b/>
        </w:rPr>
        <w:t>.</w:t>
      </w:r>
      <w:r w:rsidR="000540C6">
        <w:rPr>
          <w:rFonts w:cs="Knockout-32JuniorCruisewt"/>
          <w:b/>
        </w:rPr>
        <w:t xml:space="preserve"> </w:t>
      </w:r>
      <w:r w:rsidR="00D20FEA" w:rsidRPr="000540C6">
        <w:rPr>
          <w:rFonts w:cs="Knockout-32JuniorCruisewt"/>
        </w:rPr>
        <w:t>Intestinal worms and schistosomiasis are among th</w:t>
      </w:r>
      <w:r w:rsidR="00874464" w:rsidRPr="000540C6">
        <w:rPr>
          <w:rFonts w:cs="Knockout-32JuniorCruisewt"/>
        </w:rPr>
        <w:t xml:space="preserve">e underlying causes of stunting </w:t>
      </w:r>
      <w:r w:rsidR="00D20FEA" w:rsidRPr="00201D39">
        <w:rPr>
          <w:rStyle w:val="EndnoteReference"/>
          <w:rFonts w:cs="Knockout-32JuniorCruisewt"/>
        </w:rPr>
        <w:endnoteReference w:id="5"/>
      </w:r>
      <w:r w:rsidR="00D20FEA" w:rsidRPr="000540C6">
        <w:rPr>
          <w:rFonts w:cs="Knockout-32JuniorCruisewt"/>
        </w:rPr>
        <w:t xml:space="preserve"> and children suffering from these infections face significant growth deficits and cognitive delays. A</w:t>
      </w:r>
      <w:r w:rsidR="00D20FEA" w:rsidRPr="000540C6">
        <w:rPr>
          <w:bCs/>
        </w:rPr>
        <w:t xml:space="preserve"> study in Peru </w:t>
      </w:r>
      <w:r w:rsidR="00D20FEA" w:rsidRPr="000540C6">
        <w:rPr>
          <w:rFonts w:cs="Calibri"/>
        </w:rPr>
        <w:t>demonstrated that 7-14 month old children burdened by intestinal worms were 84 percent more likely to be stunted.</w:t>
      </w:r>
      <w:r w:rsidR="00D20FEA" w:rsidRPr="00B73429">
        <w:rPr>
          <w:rStyle w:val="EndnoteReference"/>
          <w:rFonts w:cs="Calibri"/>
        </w:rPr>
        <w:endnoteReference w:id="6"/>
      </w:r>
      <w:r w:rsidR="00D20FEA" w:rsidRPr="000540C6">
        <w:rPr>
          <w:rFonts w:cs="Knockout-32JuniorCruisewt"/>
        </w:rPr>
        <w:t xml:space="preserve">  </w:t>
      </w:r>
      <w:r w:rsidR="00874464" w:rsidRPr="000540C6">
        <w:rPr>
          <w:rFonts w:cs="Knockout-32JuniorCruisewt"/>
        </w:rPr>
        <w:t>Additionally, a</w:t>
      </w:r>
      <w:r w:rsidR="00D20FEA" w:rsidRPr="000540C6">
        <w:rPr>
          <w:rFonts w:cs="Knockout-32JuniorCruisewt"/>
        </w:rPr>
        <w:t xml:space="preserve"> study revealed greater odds of stunting, wasting and anemia among Kenyan children (between the ages of 5 and 18) who were often co-infected with a combination of schistosomiasis, hookworm, or malaria</w:t>
      </w:r>
      <w:r w:rsidR="00874464" w:rsidRPr="000540C6">
        <w:rPr>
          <w:rFonts w:cs="Knockout-32JuniorCruisewt"/>
        </w:rPr>
        <w:t>.</w:t>
      </w:r>
      <w:r w:rsidR="00D20FEA" w:rsidRPr="000540C6">
        <w:rPr>
          <w:rStyle w:val="EndnoteReference"/>
          <w:bCs/>
        </w:rPr>
        <w:t xml:space="preserve"> </w:t>
      </w:r>
      <w:r w:rsidR="00D20FEA" w:rsidRPr="00F27E9B">
        <w:rPr>
          <w:rStyle w:val="EndnoteReference"/>
          <w:bCs/>
        </w:rPr>
        <w:endnoteReference w:id="7"/>
      </w:r>
      <w:r w:rsidR="00D20FEA" w:rsidRPr="000540C6">
        <w:rPr>
          <w:bCs/>
        </w:rPr>
        <w:t xml:space="preserve">   </w:t>
      </w:r>
    </w:p>
    <w:p w14:paraId="1D4ABE45" w14:textId="6FF15AD1" w:rsidR="00D20FEA" w:rsidRPr="00D20FEA" w:rsidRDefault="00D20FEA" w:rsidP="00D20FEA">
      <w:pPr>
        <w:pStyle w:val="NoSpacing"/>
        <w:numPr>
          <w:ilvl w:val="0"/>
          <w:numId w:val="14"/>
        </w:numPr>
        <w:rPr>
          <w:bCs/>
        </w:rPr>
      </w:pPr>
      <w:r w:rsidRPr="00D20FEA">
        <w:rPr>
          <w:rFonts w:cs="Knockout-32JuniorCruisewt"/>
          <w:b/>
        </w:rPr>
        <w:t>Add deworming as a priority intervention to help address anemia in women of reprod</w:t>
      </w:r>
      <w:r w:rsidR="007A5A36">
        <w:rPr>
          <w:rFonts w:cs="Knockout-32JuniorCruisewt"/>
          <w:b/>
        </w:rPr>
        <w:t xml:space="preserve">uctive age and pregnant women. </w:t>
      </w:r>
      <w:r w:rsidRPr="00811399">
        <w:rPr>
          <w:rFonts w:cs="Knockout-32JuniorCruisewt"/>
        </w:rPr>
        <w:t>Considering the role that hookworm infections and schistosomiasis play in contributing to blood and iron loss, it is no surprise that they are listed as among the leading causes of anemia worldwide. Prevalence of anemia, including iron-deficiency anemia, is consistently higher among populations with low socioeconomic status, especially in young children and women.</w:t>
      </w:r>
      <w:r w:rsidRPr="005644AB">
        <w:rPr>
          <w:rStyle w:val="EndnoteReference"/>
          <w:rFonts w:cs="Knockout-32JuniorCruisewt"/>
        </w:rPr>
        <w:endnoteReference w:id="8"/>
      </w:r>
      <w:r w:rsidRPr="00811399">
        <w:rPr>
          <w:rFonts w:cs="Knockout-32JuniorCruisewt"/>
        </w:rPr>
        <w:t xml:space="preserve"> </w:t>
      </w:r>
      <w:r>
        <w:rPr>
          <w:rFonts w:cs="Knockout-32JuniorCruisewt"/>
        </w:rPr>
        <w:t xml:space="preserve"> </w:t>
      </w:r>
    </w:p>
    <w:p w14:paraId="577221B3" w14:textId="77777777" w:rsidR="00D20FEA" w:rsidRDefault="00D20FEA" w:rsidP="00D20FEA">
      <w:pPr>
        <w:pStyle w:val="NoSpacing"/>
        <w:rPr>
          <w:rFonts w:cs="Knockout 32 Junior Cruisewt"/>
        </w:rPr>
      </w:pPr>
    </w:p>
    <w:p w14:paraId="5083B88D" w14:textId="77777777" w:rsidR="00D20FEA" w:rsidRDefault="00D20FEA" w:rsidP="00D20FEA">
      <w:pPr>
        <w:autoSpaceDE w:val="0"/>
        <w:autoSpaceDN w:val="0"/>
        <w:adjustRightInd w:val="0"/>
        <w:spacing w:after="0" w:line="240" w:lineRule="auto"/>
        <w:ind w:left="720"/>
        <w:rPr>
          <w:rFonts w:cs="Knockout-32JuniorCruisewt"/>
        </w:rPr>
      </w:pPr>
      <w:r>
        <w:rPr>
          <w:rFonts w:cs="Knockout-32JuniorCruisewt"/>
        </w:rPr>
        <w:t xml:space="preserve">Hookworm infection and </w:t>
      </w:r>
      <w:r w:rsidRPr="005644AB">
        <w:rPr>
          <w:rFonts w:cs="Knockout-32JuniorCruisewt"/>
        </w:rPr>
        <w:t>schistosomiasis</w:t>
      </w:r>
      <w:r>
        <w:rPr>
          <w:rFonts w:cs="Knockout-32JuniorCruisewt"/>
        </w:rPr>
        <w:t xml:space="preserve"> are especially detrimental for women of child-bearing age and pregnant women who have a greater need for iron. In pregnant women, they exacerbate the loss of iron during pregnancy,</w:t>
      </w:r>
      <w:r w:rsidRPr="00490839">
        <w:rPr>
          <w:rFonts w:cs="Knockout-32JuniorCruisewt"/>
        </w:rPr>
        <w:t xml:space="preserve"> </w:t>
      </w:r>
      <w:r>
        <w:rPr>
          <w:rFonts w:cs="Knockout-32JuniorCruisewt"/>
        </w:rPr>
        <w:t>increasing the likelihood of delivering low birth</w:t>
      </w:r>
      <w:r w:rsidRPr="00490839">
        <w:rPr>
          <w:rFonts w:cs="Knockout-32JuniorCruisewt"/>
        </w:rPr>
        <w:t>weight newborns</w:t>
      </w:r>
      <w:r>
        <w:rPr>
          <w:rFonts w:cs="Knockout-32JuniorCruisewt"/>
        </w:rPr>
        <w:t xml:space="preserve"> and the risk of child mortality</w:t>
      </w:r>
      <w:r w:rsidRPr="00490839">
        <w:rPr>
          <w:rFonts w:cs="Knockout-32JuniorCruisewt"/>
        </w:rPr>
        <w:t xml:space="preserve">. </w:t>
      </w:r>
      <w:r>
        <w:rPr>
          <w:rFonts w:cs="Knockout-32JuniorCruisewt"/>
        </w:rPr>
        <w:t xml:space="preserve">Furthermore, hookworm and schistosomiasis multiply </w:t>
      </w:r>
      <w:r w:rsidRPr="00490839">
        <w:rPr>
          <w:rFonts w:cs="Knockout-32JuniorCruisewt"/>
        </w:rPr>
        <w:t>blood loss during birth, contributing to hemorrhage,</w:t>
      </w:r>
      <w:r w:rsidRPr="00490839">
        <w:rPr>
          <w:rStyle w:val="EndnoteReference"/>
          <w:rFonts w:cs="Knockout-32JuniorCruisewt"/>
        </w:rPr>
        <w:endnoteReference w:id="9"/>
      </w:r>
      <w:r w:rsidRPr="00490839">
        <w:rPr>
          <w:rFonts w:cs="Knockout-32JuniorCruisewt"/>
        </w:rPr>
        <w:t xml:space="preserve"> </w:t>
      </w:r>
      <w:r>
        <w:rPr>
          <w:rStyle w:val="EndnoteReference"/>
          <w:rFonts w:cs="Knockout-32JuniorCruisewt"/>
        </w:rPr>
        <w:endnoteReference w:id="10"/>
      </w:r>
      <w:r>
        <w:rPr>
          <w:rFonts w:cs="Knockout-32JuniorCruisewt"/>
        </w:rPr>
        <w:t xml:space="preserve"> </w:t>
      </w:r>
      <w:r w:rsidRPr="00490839">
        <w:rPr>
          <w:rStyle w:val="EndnoteReference"/>
          <w:rFonts w:cs="Knockout-32JuniorCruisewt"/>
        </w:rPr>
        <w:endnoteReference w:id="11"/>
      </w:r>
      <w:r>
        <w:rPr>
          <w:rFonts w:cs="Knockout-32JuniorCruisewt"/>
        </w:rPr>
        <w:t xml:space="preserve"> </w:t>
      </w:r>
      <w:r w:rsidRPr="00490839">
        <w:rPr>
          <w:rFonts w:cs="Knockout-32JuniorCruisewt"/>
        </w:rPr>
        <w:t>a leading cause of maternal death.</w:t>
      </w:r>
      <w:r w:rsidRPr="00490839">
        <w:rPr>
          <w:rStyle w:val="EndnoteReference"/>
          <w:rFonts w:cs="Knockout-32JuniorCruisewt"/>
        </w:rPr>
        <w:endnoteReference w:id="12"/>
      </w:r>
      <w:r>
        <w:rPr>
          <w:rFonts w:cs="Knockout-32JuniorCruisewt"/>
        </w:rPr>
        <w:t xml:space="preserve"> A</w:t>
      </w:r>
      <w:r w:rsidRPr="00490839">
        <w:rPr>
          <w:rFonts w:cs="Knockout-32JuniorCruisewt"/>
        </w:rPr>
        <w:t xml:space="preserve">n estimated 44 million pregnant women </w:t>
      </w:r>
      <w:r>
        <w:rPr>
          <w:rFonts w:cs="Knockout-32JuniorCruisewt"/>
        </w:rPr>
        <w:t xml:space="preserve">worldwide </w:t>
      </w:r>
      <w:r w:rsidRPr="00490839">
        <w:rPr>
          <w:rFonts w:cs="Knockout-32JuniorCruisewt"/>
        </w:rPr>
        <w:t>are infected with hookworm at any given time, including up to one-third of all pregnant women in sub-Saharan Africa.</w:t>
      </w:r>
      <w:r>
        <w:rPr>
          <w:rFonts w:cs="Knockout-32JuniorCruisewt"/>
        </w:rPr>
        <w:t xml:space="preserve"> Schistosomiasis alone affects 10 million pregnant women in Africa.</w:t>
      </w:r>
      <w:r>
        <w:rPr>
          <w:rStyle w:val="EndnoteReference"/>
          <w:rFonts w:cs="Knockout-32JuniorCruisewt"/>
        </w:rPr>
        <w:endnoteReference w:id="13"/>
      </w:r>
      <w:r>
        <w:rPr>
          <w:rFonts w:cs="Knockout-32JuniorCruisewt"/>
        </w:rPr>
        <w:t xml:space="preserve"> </w:t>
      </w:r>
    </w:p>
    <w:p w14:paraId="1A509C16" w14:textId="77777777" w:rsidR="00D20FEA" w:rsidRDefault="00D20FEA" w:rsidP="00D20FEA">
      <w:pPr>
        <w:pStyle w:val="NoSpacing"/>
        <w:rPr>
          <w:rFonts w:cs="Knockout-32JuniorCruisewt"/>
          <w:b/>
        </w:rPr>
      </w:pPr>
    </w:p>
    <w:p w14:paraId="283BEEDB" w14:textId="250ACF14" w:rsidR="00D20FEA" w:rsidRDefault="00D20FEA" w:rsidP="00D20FEA">
      <w:pPr>
        <w:pStyle w:val="NoSpacing"/>
        <w:rPr>
          <w:rFonts w:cs="Knockout-32JuniorCruisewt"/>
          <w:b/>
        </w:rPr>
      </w:pPr>
      <w:r>
        <w:rPr>
          <w:rFonts w:cs="Knockout-32JuniorCruisewt"/>
          <w:b/>
        </w:rPr>
        <w:t>3.3.2 Delivery of health interventions with an impact on nutrition</w:t>
      </w:r>
    </w:p>
    <w:p w14:paraId="12D36B81" w14:textId="77777777" w:rsidR="00D20FEA" w:rsidRDefault="00D20FEA" w:rsidP="00D20FEA">
      <w:pPr>
        <w:pStyle w:val="NoSpacing"/>
        <w:rPr>
          <w:rFonts w:cs="Knockout-32JuniorCruisewt"/>
          <w:b/>
        </w:rPr>
      </w:pPr>
    </w:p>
    <w:p w14:paraId="0176C9F6" w14:textId="467B651D" w:rsidR="005918E6" w:rsidRPr="00D20FEA" w:rsidRDefault="00D20FEA" w:rsidP="00D20FEA">
      <w:pPr>
        <w:pStyle w:val="NoSpacing"/>
        <w:numPr>
          <w:ilvl w:val="0"/>
          <w:numId w:val="14"/>
        </w:numPr>
        <w:rPr>
          <w:rFonts w:cs="Knockout-32JuniorCruisewt"/>
          <w:b/>
        </w:rPr>
      </w:pPr>
      <w:r w:rsidRPr="00D20FEA">
        <w:rPr>
          <w:rFonts w:cs="Knockout-32JuniorCruisewt"/>
          <w:b/>
        </w:rPr>
        <w:lastRenderedPageBreak/>
        <w:t xml:space="preserve">Add mention of the role that roundworm infections play in depleting children of Vitamin </w:t>
      </w:r>
      <w:r>
        <w:rPr>
          <w:rFonts w:cs="Knockout-32JuniorCruisewt"/>
          <w:b/>
        </w:rPr>
        <w:t>A</w:t>
      </w:r>
      <w:r w:rsidR="00ED7851">
        <w:rPr>
          <w:rFonts w:cs="Knockout-32JuniorCruisewt"/>
          <w:b/>
        </w:rPr>
        <w:t xml:space="preserve"> (p18)</w:t>
      </w:r>
      <w:r>
        <w:rPr>
          <w:rFonts w:cs="Knockout-32JuniorCruisewt"/>
          <w:b/>
        </w:rPr>
        <w:t xml:space="preserve">. </w:t>
      </w:r>
      <w:r w:rsidR="005918E6" w:rsidRPr="00D20FEA">
        <w:rPr>
          <w:rFonts w:cs="Knockout-32JuniorCruisewt"/>
        </w:rPr>
        <w:t>Roundworm, one of the most prevalent intestinal worm infections, lives in the intestinal tracks of children and robs them of Vitamin A, a micronutrient that is critical for immune function and proper growth.</w:t>
      </w:r>
      <w:r w:rsidR="005918E6" w:rsidRPr="003E6A3F">
        <w:rPr>
          <w:rStyle w:val="EndnoteReference"/>
          <w:rFonts w:cs="Knockout-32JuniorCruisewt"/>
        </w:rPr>
        <w:endnoteReference w:id="14"/>
      </w:r>
      <w:r w:rsidR="005918E6" w:rsidRPr="00D20FEA">
        <w:rPr>
          <w:rFonts w:cs="Knockout-32JuniorCruisewt"/>
        </w:rPr>
        <w:t xml:space="preserve"> Roundworm competes with children for Vitamin A and, as a result, children living with worms absorb less Vitamin A even after receiving oral supplementation.</w:t>
      </w:r>
      <w:r w:rsidR="005918E6" w:rsidRPr="003E6A3F">
        <w:rPr>
          <w:rStyle w:val="EndnoteReference"/>
          <w:rFonts w:cs="Knockout-32JuniorCruisewt"/>
        </w:rPr>
        <w:endnoteReference w:id="15"/>
      </w:r>
      <w:r w:rsidR="005918E6" w:rsidRPr="00D20FEA">
        <w:rPr>
          <w:rFonts w:cs="Knockout-32JuniorCruisewt"/>
        </w:rPr>
        <w:t xml:space="preserve"> A study in Nepal, where Vitamin A deficiency and intestinal worms are both prevalent, showed that a serious eye disease leading to blindness, xeropthalmia, was found more commonly in children with roundworms.</w:t>
      </w:r>
      <w:r w:rsidR="005918E6" w:rsidRPr="003E6A3F">
        <w:rPr>
          <w:rStyle w:val="EndnoteReference"/>
          <w:rFonts w:cs="Knockout-32JuniorCruisewt"/>
        </w:rPr>
        <w:endnoteReference w:id="16"/>
      </w:r>
      <w:r w:rsidR="005918E6" w:rsidRPr="00D20FEA">
        <w:rPr>
          <w:rFonts w:cs="Knockout-32JuniorCruisewt"/>
        </w:rPr>
        <w:t xml:space="preserve"> </w:t>
      </w:r>
      <w:r w:rsidR="005918E6" w:rsidRPr="003E6A3F">
        <w:rPr>
          <w:rStyle w:val="EndnoteReference"/>
          <w:rFonts w:cs="Knockout-32JuniorCruisewt"/>
        </w:rPr>
        <w:endnoteReference w:id="17"/>
      </w:r>
      <w:r w:rsidR="005918E6" w:rsidRPr="00D20FEA">
        <w:rPr>
          <w:rFonts w:cs="Knockout-32JuniorCruisewt"/>
        </w:rPr>
        <w:t xml:space="preserve"> </w:t>
      </w:r>
    </w:p>
    <w:p w14:paraId="32FF4208" w14:textId="77777777" w:rsidR="00ED7851" w:rsidRDefault="00D20FEA" w:rsidP="00ED7851">
      <w:pPr>
        <w:pStyle w:val="NoSpacing"/>
        <w:numPr>
          <w:ilvl w:val="0"/>
          <w:numId w:val="14"/>
        </w:numPr>
        <w:rPr>
          <w:rFonts w:cs="Knockout-32JuniorCruisewt"/>
          <w:b/>
        </w:rPr>
      </w:pPr>
      <w:r>
        <w:rPr>
          <w:rFonts w:cs="Knockout-32JuniorCruisewt"/>
          <w:b/>
        </w:rPr>
        <w:t xml:space="preserve">Add deworming </w:t>
      </w:r>
      <w:r w:rsidR="00ED7851">
        <w:rPr>
          <w:rFonts w:cs="Knockout-32JuniorCruisewt"/>
          <w:b/>
        </w:rPr>
        <w:t>for women of child bearing age and pregnant women as a priority action for prevention of infection (p  19).</w:t>
      </w:r>
    </w:p>
    <w:p w14:paraId="3EE26647" w14:textId="5E06432F" w:rsidR="00ED7851" w:rsidRPr="00ED7851" w:rsidRDefault="00ED7851" w:rsidP="00ED7851">
      <w:pPr>
        <w:pStyle w:val="NoSpacing"/>
        <w:numPr>
          <w:ilvl w:val="0"/>
          <w:numId w:val="14"/>
        </w:numPr>
        <w:rPr>
          <w:rFonts w:cs="Knockout-32JuniorCruisewt"/>
          <w:b/>
        </w:rPr>
      </w:pPr>
      <w:r w:rsidRPr="00ED7851">
        <w:rPr>
          <w:rFonts w:cs="Knockout-32JuniorCruisewt"/>
          <w:b/>
        </w:rPr>
        <w:t xml:space="preserve">Under priority actions for prevention of infections, we suggest noting the importance of </w:t>
      </w:r>
      <w:r w:rsidR="000540C6">
        <w:rPr>
          <w:rFonts w:cs="Knockout-32JuniorCruisewt"/>
          <w:b/>
        </w:rPr>
        <w:t xml:space="preserve">delivering Vitamin A/and or iron supplementation alongside delivery of deworming treatments. </w:t>
      </w:r>
      <w:r w:rsidRPr="00ED7851">
        <w:rPr>
          <w:rFonts w:cs="Arial"/>
          <w:shd w:val="clear" w:color="auto" w:fill="FFFFFF"/>
        </w:rPr>
        <w:t>Preschool-aged children in India who received deworming treatments and vitamin A supplements exhibited a 35 percent greater weight gain, equivalent to an extra two pounds over two years.</w:t>
      </w:r>
      <w:r w:rsidRPr="003E6A3F">
        <w:rPr>
          <w:rStyle w:val="EndnoteReference"/>
          <w:rFonts w:cs="Arial"/>
          <w:shd w:val="clear" w:color="auto" w:fill="FFFFFF"/>
        </w:rPr>
        <w:endnoteReference w:id="18"/>
      </w:r>
      <w:r w:rsidRPr="00ED7851">
        <w:rPr>
          <w:rFonts w:cs="Arial"/>
          <w:shd w:val="clear" w:color="auto" w:fill="FFFFFF"/>
        </w:rPr>
        <w:t xml:space="preserve"> </w:t>
      </w:r>
      <w:r w:rsidRPr="00ED7851">
        <w:rPr>
          <w:rFonts w:cs="Arial"/>
          <w:shd w:val="clear" w:color="auto" w:fill="FFFFFF"/>
        </w:rPr>
        <w:t xml:space="preserve"> A</w:t>
      </w:r>
      <w:r w:rsidRPr="00ED7851">
        <w:rPr>
          <w:rFonts w:cs="Arial"/>
          <w:shd w:val="clear" w:color="auto" w:fill="FFFFFF"/>
        </w:rPr>
        <w:t xml:space="preserve"> study in Vietnam revealed that regular pre-pregnancy deworming and weekly iron-folic acid supplementation reduced the prevalence of low birth weight infants by 40 percent.</w:t>
      </w:r>
      <w:r w:rsidRPr="003E6A3F">
        <w:rPr>
          <w:rStyle w:val="EndnoteReference"/>
          <w:rFonts w:cs="Arial"/>
          <w:shd w:val="clear" w:color="auto" w:fill="FFFFFF"/>
        </w:rPr>
        <w:endnoteReference w:id="19"/>
      </w:r>
      <w:r w:rsidRPr="00ED7851">
        <w:rPr>
          <w:rFonts w:cs="Arial"/>
          <w:shd w:val="clear" w:color="auto" w:fill="FFFFFF"/>
        </w:rPr>
        <w:t xml:space="preserve"> And, </w:t>
      </w:r>
      <w:r w:rsidRPr="00ED7851">
        <w:rPr>
          <w:rFonts w:cs="Calibri"/>
        </w:rPr>
        <w:t xml:space="preserve">infant mortality rates fell by 41% after </w:t>
      </w:r>
      <w:r w:rsidRPr="00ED7851">
        <w:rPr>
          <w:rFonts w:cs="Arial"/>
          <w:shd w:val="clear" w:color="auto" w:fill="FFFFFF"/>
        </w:rPr>
        <w:t>pregnant women in Nepal received micronutrient supplements and deworming treatments.</w:t>
      </w:r>
      <w:r w:rsidRPr="00ED7851">
        <w:rPr>
          <w:rStyle w:val="EndnoteReference"/>
          <w:rFonts w:cs="Calibri"/>
        </w:rPr>
        <w:t xml:space="preserve"> </w:t>
      </w:r>
      <w:r>
        <w:rPr>
          <w:rStyle w:val="EndnoteReference"/>
          <w:rFonts w:cs="Calibri"/>
        </w:rPr>
        <w:endnoteReference w:id="20"/>
      </w:r>
    </w:p>
    <w:p w14:paraId="450C1666" w14:textId="52564E6F" w:rsidR="008426D8" w:rsidRDefault="00874464" w:rsidP="00874464">
      <w:pPr>
        <w:pStyle w:val="NoSpacing"/>
        <w:tabs>
          <w:tab w:val="left" w:pos="2355"/>
        </w:tabs>
        <w:rPr>
          <w:rFonts w:cs="Knockout 32 Junior Cruisewt"/>
        </w:rPr>
      </w:pPr>
      <w:r>
        <w:rPr>
          <w:rFonts w:cs="Knockout 32 Junior Cruisewt"/>
        </w:rPr>
        <w:tab/>
      </w:r>
    </w:p>
    <w:p w14:paraId="4113E05A" w14:textId="63D72D08" w:rsidR="00ED7851" w:rsidRPr="00874464" w:rsidRDefault="00ED7851" w:rsidP="00874464">
      <w:pPr>
        <w:pStyle w:val="NoSpacing"/>
        <w:numPr>
          <w:ilvl w:val="2"/>
          <w:numId w:val="16"/>
        </w:numPr>
        <w:rPr>
          <w:rFonts w:cs="Knockout 32 Junior Cruisewt"/>
          <w:b/>
        </w:rPr>
      </w:pPr>
      <w:r w:rsidRPr="00874464">
        <w:rPr>
          <w:rFonts w:cs="Knockout 32 Junior Cruisewt"/>
          <w:b/>
        </w:rPr>
        <w:t>Access to safe water, adequate sanitation and hygiene</w:t>
      </w:r>
    </w:p>
    <w:p w14:paraId="0816A106" w14:textId="77777777" w:rsidR="00874464" w:rsidRDefault="00874464" w:rsidP="00874464">
      <w:pPr>
        <w:pStyle w:val="NoSpacing"/>
        <w:ind w:left="720"/>
        <w:rPr>
          <w:rFonts w:cs="Knockout 32 Junior Cruisewt"/>
        </w:rPr>
      </w:pPr>
    </w:p>
    <w:p w14:paraId="0FAABAE0" w14:textId="540BEAF7" w:rsidR="00ED7851" w:rsidRPr="00874464" w:rsidRDefault="00ED7851" w:rsidP="00874464">
      <w:pPr>
        <w:pStyle w:val="NoSpacing"/>
        <w:numPr>
          <w:ilvl w:val="0"/>
          <w:numId w:val="14"/>
        </w:numPr>
        <w:rPr>
          <w:rFonts w:cs="Knockout-32JuniorCruisewt"/>
          <w:b/>
        </w:rPr>
      </w:pPr>
      <w:r>
        <w:rPr>
          <w:rFonts w:cs="Knockout-32JuniorCruisewt"/>
          <w:b/>
        </w:rPr>
        <w:t>Add mention of the linkages between intestinal worm infections and schistosomiasis, malnutrition</w:t>
      </w:r>
      <w:r w:rsidR="00874464">
        <w:rPr>
          <w:rFonts w:cs="Knockout-32JuniorCruisewt"/>
          <w:b/>
        </w:rPr>
        <w:t xml:space="preserve"> and water, sanitation and hygiene</w:t>
      </w:r>
      <w:r>
        <w:rPr>
          <w:rFonts w:cs="Knockout-32JuniorCruisewt"/>
          <w:b/>
        </w:rPr>
        <w:t>.</w:t>
      </w:r>
      <w:r w:rsidRPr="00ED7851">
        <w:rPr>
          <w:rFonts w:cs="Arial"/>
          <w:shd w:val="clear" w:color="auto" w:fill="FFFFFF"/>
        </w:rPr>
        <w:t xml:space="preserve"> </w:t>
      </w:r>
      <w:r w:rsidRPr="001558E5">
        <w:rPr>
          <w:rFonts w:cs="Arial"/>
          <w:shd w:val="clear" w:color="auto" w:fill="FFFFFF"/>
        </w:rPr>
        <w:t>Inadequate water supply, poor sanitation and lack of hygiene are contributing factors to the spread of NTDs</w:t>
      </w:r>
      <w:r w:rsidR="00874464">
        <w:rPr>
          <w:rFonts w:cs="Knockout-32JuniorCruisewt"/>
          <w:b/>
        </w:rPr>
        <w:t xml:space="preserve">. </w:t>
      </w:r>
      <w:r w:rsidR="00874464">
        <w:rPr>
          <w:rFonts w:cs="Calibri"/>
        </w:rPr>
        <w:t>Infants and young children are often exposed to NTD contaminated soil and water during everyday activities, like eating, playing or bathing</w:t>
      </w:r>
      <w:r w:rsidR="00874464">
        <w:rPr>
          <w:rFonts w:cs="Calibri"/>
        </w:rPr>
        <w:t>.</w:t>
      </w:r>
      <w:r w:rsidR="00874464" w:rsidRPr="00874464">
        <w:rPr>
          <w:rFonts w:cs="Arial"/>
          <w:shd w:val="clear" w:color="auto" w:fill="FFFFFF"/>
        </w:rPr>
        <w:t xml:space="preserve"> </w:t>
      </w:r>
      <w:r w:rsidR="00874464">
        <w:rPr>
          <w:rFonts w:cs="Arial"/>
          <w:shd w:val="clear" w:color="auto" w:fill="FFFFFF"/>
        </w:rPr>
        <w:t>I</w:t>
      </w:r>
      <w:r w:rsidRPr="00874464">
        <w:rPr>
          <w:rFonts w:cs="Arial"/>
          <w:shd w:val="clear" w:color="auto" w:fill="FFFFFF"/>
        </w:rPr>
        <w:t xml:space="preserve">ncreased use of latrines, regular hand-washing and water supply infrastructure – </w:t>
      </w:r>
      <w:r w:rsidR="00874464">
        <w:rPr>
          <w:rFonts w:cs="Arial"/>
          <w:shd w:val="clear" w:color="auto" w:fill="FFFFFF"/>
        </w:rPr>
        <w:t>interventions that</w:t>
      </w:r>
      <w:r w:rsidRPr="00874464">
        <w:rPr>
          <w:rFonts w:cs="Arial"/>
          <w:shd w:val="clear" w:color="auto" w:fill="FFFFFF"/>
        </w:rPr>
        <w:t xml:space="preserve"> address the underlying causes of disease and malnutrition – are associated with reduced risk of intestinal worm infections </w:t>
      </w:r>
      <w:r w:rsidRPr="0060696B">
        <w:t xml:space="preserve">reduced infections of schistosomiasis. </w:t>
      </w:r>
    </w:p>
    <w:p w14:paraId="1D3D36A5" w14:textId="77777777" w:rsidR="005338DE" w:rsidRDefault="005338DE" w:rsidP="00CA5E2A">
      <w:pPr>
        <w:pStyle w:val="NoSpacing"/>
      </w:pPr>
    </w:p>
    <w:p w14:paraId="34955DE8" w14:textId="77777777" w:rsidR="00B82A2F" w:rsidRPr="00B82A2F" w:rsidRDefault="00B82A2F" w:rsidP="00CA5E2A">
      <w:pPr>
        <w:pStyle w:val="NoSpacing"/>
      </w:pPr>
      <w:r w:rsidRPr="00B82A2F">
        <w:rPr>
          <w:b/>
          <w:bCs/>
        </w:rPr>
        <w:t>About the Global Network for Neglected Tropical Diseases</w:t>
      </w:r>
    </w:p>
    <w:p w14:paraId="614056A2" w14:textId="77777777" w:rsidR="00B82A2F" w:rsidRPr="00B82A2F" w:rsidRDefault="00B82A2F" w:rsidP="00CA5E2A">
      <w:pPr>
        <w:pStyle w:val="NoSpacing"/>
      </w:pPr>
      <w:r w:rsidRPr="00B82A2F">
        <w:t>The Global Network for Neglected Tropical Diseases is an advocacy initiative of the Sabin Vaccine Institute that works in partnership with international agencies, governments, academic institutions, corporations, non-governmental development organizations and the general public to raise the awareness, political will and funding necessary to control and eliminate the seven most common neglected tropical diseases (NTDs) by 2020. For more information, please visit </w:t>
      </w:r>
      <w:hyperlink r:id="rId8" w:history="1">
        <w:r w:rsidRPr="00B82A2F">
          <w:rPr>
            <w:rStyle w:val="Hyperlink"/>
          </w:rPr>
          <w:t>www.globalnetwork.org</w:t>
        </w:r>
      </w:hyperlink>
      <w:r w:rsidRPr="00B82A2F">
        <w:t>.</w:t>
      </w:r>
    </w:p>
    <w:p w14:paraId="3FB3703C" w14:textId="77777777" w:rsidR="00B82A2F" w:rsidRDefault="00B82A2F" w:rsidP="00CA5E2A">
      <w:pPr>
        <w:pStyle w:val="NoSpacing"/>
        <w:rPr>
          <w:b/>
          <w:bCs/>
        </w:rPr>
      </w:pPr>
    </w:p>
    <w:p w14:paraId="7C487E62" w14:textId="77777777" w:rsidR="00B82A2F" w:rsidRPr="00B82A2F" w:rsidRDefault="00B82A2F" w:rsidP="00CA5E2A">
      <w:pPr>
        <w:pStyle w:val="NoSpacing"/>
      </w:pPr>
      <w:r w:rsidRPr="00B82A2F">
        <w:rPr>
          <w:b/>
          <w:bCs/>
        </w:rPr>
        <w:t>About the Sabin Vaccine Institute</w:t>
      </w:r>
    </w:p>
    <w:p w14:paraId="2DF92BF9" w14:textId="314C3984" w:rsidR="00DF71F4" w:rsidRDefault="00B82A2F" w:rsidP="00CA5E2A">
      <w:pPr>
        <w:pStyle w:val="NoSpacing"/>
      </w:pPr>
      <w:r w:rsidRPr="00B82A2F">
        <w:t>The Sabin Vaccine Institute (Sabin) is a non-profit, 501(c)(3) organization of scientists, researchers and advocates dedicated to reducing needless human suffering from vaccine-preventable and neglected tropical diseases (NTDs). Since its founding in 1993 in honor of Dr. Albert B. Sabin, the developer of the oral polio vaccine, Sabin has been at the forefront of global efforts to eliminate, prevent and cure infectious and neglected tropical diseases. Sabin develops new vaccines, advocates for increased use of existing vaccines and promotes expanded access to affordable medical treatments in collaboration with governments, academic institutions, scientists, medical professionals and other non-profit organizations. For more information, please visit </w:t>
      </w:r>
      <w:hyperlink r:id="rId9" w:history="1">
        <w:r w:rsidRPr="00B82A2F">
          <w:rPr>
            <w:rStyle w:val="Hyperlink"/>
          </w:rPr>
          <w:t>www.sabin.org</w:t>
        </w:r>
      </w:hyperlink>
      <w:r w:rsidRPr="00B82A2F">
        <w:t>.</w:t>
      </w:r>
    </w:p>
    <w:p w14:paraId="5F00504D" w14:textId="77777777" w:rsidR="00D56EA7" w:rsidRPr="00851D55" w:rsidRDefault="00D56EA7" w:rsidP="00CA5E2A">
      <w:pPr>
        <w:pStyle w:val="NoSpacing"/>
      </w:pPr>
    </w:p>
    <w:sectPr w:rsidR="00D56EA7" w:rsidRPr="00851D55" w:rsidSect="00874464">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BF0E21" w14:textId="77777777" w:rsidR="002E7B12" w:rsidRDefault="002E7B12" w:rsidP="00D56EA7">
      <w:pPr>
        <w:spacing w:after="0" w:line="240" w:lineRule="auto"/>
      </w:pPr>
      <w:r>
        <w:separator/>
      </w:r>
    </w:p>
  </w:endnote>
  <w:endnote w:type="continuationSeparator" w:id="0">
    <w:p w14:paraId="69DCE5F6" w14:textId="77777777" w:rsidR="002E7B12" w:rsidRDefault="002E7B12" w:rsidP="00D56EA7">
      <w:pPr>
        <w:spacing w:after="0" w:line="240" w:lineRule="auto"/>
      </w:pPr>
      <w:r>
        <w:continuationSeparator/>
      </w:r>
    </w:p>
  </w:endnote>
  <w:endnote w:id="1">
    <w:p w14:paraId="0BAEF1B4" w14:textId="77777777" w:rsidR="00B82A2F" w:rsidRPr="003553E7" w:rsidRDefault="00B82A2F" w:rsidP="00B82A2F">
      <w:pPr>
        <w:pStyle w:val="EndnoteText"/>
      </w:pPr>
      <w:r w:rsidRPr="000807C7">
        <w:rPr>
          <w:rStyle w:val="EndnoteReference"/>
        </w:rPr>
        <w:endnoteRef/>
      </w:r>
      <w:r w:rsidRPr="000807C7">
        <w:t xml:space="preserve"> </w:t>
      </w:r>
      <w:r w:rsidRPr="003553E7">
        <w:t xml:space="preserve">This figure includes preschool age children (years 1-4) and school age children (years 5-14). </w:t>
      </w:r>
      <w:r>
        <w:t xml:space="preserve">Soil-transmitted helminthiases: number of children treated in 2011. (2013). </w:t>
      </w:r>
      <w:r>
        <w:rPr>
          <w:i/>
        </w:rPr>
        <w:t>Weekly Epidemiological Record</w:t>
      </w:r>
      <w:r>
        <w:t>, 88: 145-152.</w:t>
      </w:r>
    </w:p>
  </w:endnote>
  <w:endnote w:id="2">
    <w:p w14:paraId="517B3033" w14:textId="77777777" w:rsidR="00B82A2F" w:rsidRPr="000807C7" w:rsidRDefault="00B82A2F" w:rsidP="00B82A2F">
      <w:pPr>
        <w:pStyle w:val="NormalWeb"/>
        <w:spacing w:before="0" w:beforeAutospacing="0" w:after="0" w:afterAutospacing="0"/>
        <w:rPr>
          <w:rFonts w:asciiTheme="minorHAnsi" w:hAnsiTheme="minorHAnsi"/>
          <w:noProof/>
          <w:sz w:val="20"/>
          <w:szCs w:val="20"/>
        </w:rPr>
      </w:pPr>
      <w:r w:rsidRPr="000807C7">
        <w:rPr>
          <w:rStyle w:val="EndnoteReference"/>
          <w:rFonts w:asciiTheme="minorHAnsi" w:hAnsiTheme="minorHAnsi"/>
          <w:sz w:val="20"/>
          <w:szCs w:val="20"/>
        </w:rPr>
        <w:endnoteRef/>
      </w:r>
      <w:r w:rsidRPr="000807C7">
        <w:rPr>
          <w:rStyle w:val="EndnoteReference"/>
          <w:sz w:val="20"/>
          <w:szCs w:val="20"/>
        </w:rPr>
        <w:t xml:space="preserve">  </w:t>
      </w:r>
      <w:r w:rsidRPr="000807C7">
        <w:rPr>
          <w:rFonts w:asciiTheme="minorHAnsi" w:hAnsiTheme="minorHAnsi"/>
          <w:noProof/>
          <w:sz w:val="20"/>
          <w:szCs w:val="20"/>
        </w:rPr>
        <w:t xml:space="preserve">Soil-transmitted helminthiases: number of children treated in 2011. (2013) </w:t>
      </w:r>
      <w:r w:rsidRPr="006B640E">
        <w:rPr>
          <w:rFonts w:asciiTheme="minorHAnsi" w:hAnsiTheme="minorHAnsi"/>
          <w:i/>
          <w:noProof/>
          <w:sz w:val="20"/>
          <w:szCs w:val="20"/>
        </w:rPr>
        <w:t>Weekly Epidemiological Record</w:t>
      </w:r>
      <w:r w:rsidRPr="000807C7">
        <w:rPr>
          <w:rFonts w:asciiTheme="minorHAnsi" w:hAnsiTheme="minorHAnsi"/>
          <w:noProof/>
          <w:sz w:val="20"/>
          <w:szCs w:val="20"/>
        </w:rPr>
        <w:t xml:space="preserve">, (14), 145-152. Retrieved from </w:t>
      </w:r>
      <w:r w:rsidRPr="00D07F98">
        <w:rPr>
          <w:rFonts w:asciiTheme="minorHAnsi" w:hAnsiTheme="minorHAnsi"/>
          <w:noProof/>
          <w:color w:val="0000FF"/>
          <w:sz w:val="20"/>
          <w:szCs w:val="20"/>
          <w:u w:val="single"/>
        </w:rPr>
        <w:t>http://www.who.int/wer/2013/wer8814.pdf</w:t>
      </w:r>
      <w:r w:rsidRPr="00D07F98">
        <w:rPr>
          <w:rFonts w:asciiTheme="minorHAnsi" w:hAnsiTheme="minorHAnsi"/>
          <w:noProof/>
          <w:color w:val="0000FF"/>
          <w:sz w:val="20"/>
          <w:szCs w:val="20"/>
        </w:rPr>
        <w:t xml:space="preserve">  </w:t>
      </w:r>
    </w:p>
  </w:endnote>
  <w:endnote w:id="3">
    <w:p w14:paraId="7DF4FC00" w14:textId="77777777" w:rsidR="00B82A2F" w:rsidRPr="000807C7" w:rsidRDefault="00B82A2F" w:rsidP="00B82A2F">
      <w:pPr>
        <w:pStyle w:val="EndnoteText"/>
      </w:pPr>
      <w:r w:rsidRPr="000807C7">
        <w:rPr>
          <w:rStyle w:val="EndnoteReference"/>
        </w:rPr>
        <w:endnoteRef/>
      </w:r>
      <w:r w:rsidRPr="000807C7">
        <w:t xml:space="preserve"> Friedman, Jennifer F., et al. (2007). Schistosomiasis and Pregnancy.  </w:t>
      </w:r>
      <w:r w:rsidRPr="000807C7">
        <w:rPr>
          <w:i/>
        </w:rPr>
        <w:t>TRENDS in Parasitology</w:t>
      </w:r>
      <w:r w:rsidRPr="000807C7">
        <w:t>, 23 (4), pp. 158-164.</w:t>
      </w:r>
    </w:p>
  </w:endnote>
  <w:endnote w:id="4">
    <w:p w14:paraId="52325E23" w14:textId="77777777" w:rsidR="00874464" w:rsidRDefault="00B82A2F" w:rsidP="00B82A2F">
      <w:pPr>
        <w:pStyle w:val="NormalWeb"/>
        <w:spacing w:before="0" w:beforeAutospacing="0" w:after="0" w:afterAutospacing="0"/>
        <w:ind w:left="480" w:hanging="480"/>
        <w:rPr>
          <w:rFonts w:asciiTheme="minorHAnsi" w:hAnsiTheme="minorHAnsi"/>
          <w:i/>
          <w:iCs/>
          <w:noProof/>
          <w:sz w:val="20"/>
          <w:szCs w:val="20"/>
        </w:rPr>
      </w:pPr>
      <w:r w:rsidRPr="000807C7">
        <w:rPr>
          <w:rStyle w:val="EndnoteReference"/>
          <w:rFonts w:asciiTheme="minorHAnsi" w:hAnsiTheme="minorHAnsi"/>
          <w:sz w:val="20"/>
          <w:szCs w:val="20"/>
        </w:rPr>
        <w:endnoteRef/>
      </w:r>
      <w:r w:rsidRPr="000807C7">
        <w:rPr>
          <w:rFonts w:asciiTheme="minorHAnsi" w:hAnsiTheme="minorHAnsi"/>
          <w:sz w:val="20"/>
          <w:szCs w:val="20"/>
        </w:rPr>
        <w:t xml:space="preserve"> WHO report indicates 237 million</w:t>
      </w:r>
      <w:r>
        <w:rPr>
          <w:rFonts w:asciiTheme="minorHAnsi" w:hAnsiTheme="minorHAnsi"/>
          <w:sz w:val="20"/>
          <w:szCs w:val="20"/>
        </w:rPr>
        <w:t xml:space="preserve"> people at risk for schistosomiasis</w:t>
      </w:r>
      <w:r w:rsidRPr="000807C7">
        <w:rPr>
          <w:rFonts w:asciiTheme="minorHAnsi" w:hAnsiTheme="minorHAnsi"/>
          <w:sz w:val="20"/>
          <w:szCs w:val="20"/>
        </w:rPr>
        <w:t xml:space="preserve">. </w:t>
      </w:r>
      <w:r w:rsidRPr="000807C7">
        <w:rPr>
          <w:rFonts w:asciiTheme="minorHAnsi" w:hAnsiTheme="minorHAnsi"/>
          <w:i/>
          <w:iCs/>
          <w:noProof/>
          <w:sz w:val="20"/>
          <w:szCs w:val="20"/>
        </w:rPr>
        <w:t xml:space="preserve">Sustaining the drive to overcome the global </w:t>
      </w:r>
    </w:p>
    <w:p w14:paraId="235062C8" w14:textId="012410C7" w:rsidR="00B82A2F" w:rsidRPr="00874464" w:rsidRDefault="00B82A2F" w:rsidP="00874464">
      <w:pPr>
        <w:pStyle w:val="NormalWeb"/>
        <w:spacing w:before="0" w:beforeAutospacing="0" w:after="0" w:afterAutospacing="0"/>
        <w:ind w:left="480" w:hanging="480"/>
        <w:rPr>
          <w:rFonts w:asciiTheme="minorHAnsi" w:hAnsiTheme="minorHAnsi"/>
          <w:i/>
          <w:iCs/>
          <w:noProof/>
          <w:sz w:val="20"/>
          <w:szCs w:val="20"/>
        </w:rPr>
      </w:pPr>
      <w:r w:rsidRPr="000807C7">
        <w:rPr>
          <w:rFonts w:asciiTheme="minorHAnsi" w:hAnsiTheme="minorHAnsi"/>
          <w:i/>
          <w:iCs/>
          <w:noProof/>
          <w:sz w:val="20"/>
          <w:szCs w:val="20"/>
        </w:rPr>
        <w:t>impact of neglected tropical diseases: Second</w:t>
      </w:r>
      <w:r>
        <w:rPr>
          <w:rFonts w:asciiTheme="minorHAnsi" w:hAnsiTheme="minorHAnsi"/>
          <w:i/>
          <w:iCs/>
          <w:noProof/>
          <w:sz w:val="20"/>
          <w:szCs w:val="20"/>
        </w:rPr>
        <w:t xml:space="preserve"> </w:t>
      </w:r>
      <w:r w:rsidRPr="000807C7">
        <w:rPr>
          <w:rFonts w:asciiTheme="minorHAnsi" w:hAnsiTheme="minorHAnsi"/>
          <w:i/>
          <w:iCs/>
          <w:noProof/>
          <w:sz w:val="20"/>
          <w:szCs w:val="20"/>
        </w:rPr>
        <w:t>WHO Report on Neglected Tropical Diseases</w:t>
      </w:r>
      <w:r w:rsidRPr="000807C7">
        <w:rPr>
          <w:rFonts w:asciiTheme="minorHAnsi" w:hAnsiTheme="minorHAnsi"/>
          <w:noProof/>
          <w:sz w:val="20"/>
          <w:szCs w:val="20"/>
        </w:rPr>
        <w:t xml:space="preserve">. (2013). Retrieved from </w:t>
      </w:r>
    </w:p>
    <w:p w14:paraId="5DEA5857" w14:textId="77777777" w:rsidR="00B82A2F" w:rsidRPr="003316B5" w:rsidRDefault="00B82A2F" w:rsidP="00B82A2F">
      <w:pPr>
        <w:pStyle w:val="NormalWeb"/>
        <w:spacing w:before="0" w:beforeAutospacing="0" w:after="0" w:afterAutospacing="0"/>
        <w:rPr>
          <w:rFonts w:asciiTheme="minorHAnsi" w:hAnsiTheme="minorHAnsi"/>
          <w:i/>
          <w:iCs/>
          <w:noProof/>
          <w:sz w:val="20"/>
          <w:szCs w:val="20"/>
        </w:rPr>
      </w:pPr>
      <w:r w:rsidRPr="00D07F98">
        <w:rPr>
          <w:rFonts w:asciiTheme="minorHAnsi" w:hAnsiTheme="minorHAnsi"/>
          <w:noProof/>
          <w:color w:val="0000FF"/>
          <w:sz w:val="20"/>
          <w:szCs w:val="20"/>
          <w:u w:val="single"/>
        </w:rPr>
        <w:t>http://www.who.int/neglected_diseases/2012report/en/</w:t>
      </w:r>
    </w:p>
  </w:endnote>
  <w:endnote w:id="5">
    <w:p w14:paraId="33BDDB8B" w14:textId="77777777" w:rsidR="00D20FEA" w:rsidRPr="000807C7" w:rsidRDefault="00D20FEA" w:rsidP="00D20FEA">
      <w:pPr>
        <w:pStyle w:val="EndnoteText"/>
      </w:pPr>
      <w:r w:rsidRPr="000807C7">
        <w:rPr>
          <w:rStyle w:val="EndnoteReference"/>
        </w:rPr>
        <w:endnoteRef/>
      </w:r>
      <w:r w:rsidRPr="000807C7">
        <w:t xml:space="preserve"> Papier, K, et al. (2014). Childhood Malnutrition and Parasitic Helminth Interactions. </w:t>
      </w:r>
      <w:r w:rsidRPr="000807C7">
        <w:rPr>
          <w:i/>
        </w:rPr>
        <w:t>Clinical Infectious Diseases</w:t>
      </w:r>
      <w:r w:rsidRPr="000807C7">
        <w:t xml:space="preserve">, [E-publication ahead of print] Retrieved from </w:t>
      </w:r>
      <w:hyperlink r:id="rId1" w:history="1">
        <w:r w:rsidRPr="000807C7">
          <w:rPr>
            <w:rStyle w:val="Hyperlink"/>
          </w:rPr>
          <w:t>http://www.ncbi.nlm.nih.gov/pubmed/24704723</w:t>
        </w:r>
      </w:hyperlink>
    </w:p>
  </w:endnote>
  <w:endnote w:id="6">
    <w:p w14:paraId="5FA44163" w14:textId="77777777" w:rsidR="00874464" w:rsidRDefault="00D20FEA" w:rsidP="00D20FEA">
      <w:pPr>
        <w:pStyle w:val="NormalWeb"/>
        <w:spacing w:before="0" w:beforeAutospacing="0" w:after="0" w:afterAutospacing="0"/>
        <w:ind w:left="480" w:hanging="480"/>
        <w:rPr>
          <w:rFonts w:asciiTheme="minorHAnsi" w:hAnsiTheme="minorHAnsi"/>
          <w:noProof/>
          <w:sz w:val="20"/>
          <w:szCs w:val="20"/>
        </w:rPr>
      </w:pPr>
      <w:r w:rsidRPr="000807C7">
        <w:rPr>
          <w:rStyle w:val="EndnoteReference"/>
          <w:rFonts w:asciiTheme="minorHAnsi" w:hAnsiTheme="minorHAnsi"/>
          <w:sz w:val="20"/>
          <w:szCs w:val="20"/>
        </w:rPr>
        <w:endnoteRef/>
      </w:r>
      <w:r w:rsidRPr="000807C7">
        <w:rPr>
          <w:rStyle w:val="EndnoteReference"/>
          <w:rFonts w:asciiTheme="minorHAnsi" w:hAnsiTheme="minorHAnsi"/>
          <w:sz w:val="20"/>
          <w:szCs w:val="20"/>
        </w:rPr>
        <w:t xml:space="preserve"> </w:t>
      </w:r>
      <w:r w:rsidRPr="000807C7">
        <w:rPr>
          <w:rFonts w:asciiTheme="minorHAnsi" w:hAnsiTheme="minorHAnsi"/>
          <w:noProof/>
          <w:sz w:val="20"/>
          <w:szCs w:val="20"/>
        </w:rPr>
        <w:t>Gyorkos, T. W., Maheu-giroux, M., Casapía, M., Joseph, S. A., &amp; Creed-kanashiro, H. (2011). Stu</w:t>
      </w:r>
      <w:r>
        <w:rPr>
          <w:rFonts w:asciiTheme="minorHAnsi" w:hAnsiTheme="minorHAnsi"/>
          <w:noProof/>
          <w:sz w:val="20"/>
          <w:szCs w:val="20"/>
        </w:rPr>
        <w:t xml:space="preserve">nting and </w:t>
      </w:r>
    </w:p>
    <w:p w14:paraId="44510C82" w14:textId="77777777" w:rsidR="00874464" w:rsidRDefault="00D20FEA" w:rsidP="00874464">
      <w:pPr>
        <w:pStyle w:val="NormalWeb"/>
        <w:spacing w:before="0" w:beforeAutospacing="0" w:after="0" w:afterAutospacing="0"/>
        <w:ind w:left="480" w:hanging="480"/>
        <w:rPr>
          <w:rFonts w:asciiTheme="minorHAnsi" w:hAnsiTheme="minorHAnsi"/>
          <w:noProof/>
          <w:sz w:val="20"/>
          <w:szCs w:val="20"/>
        </w:rPr>
      </w:pPr>
      <w:r>
        <w:rPr>
          <w:rFonts w:asciiTheme="minorHAnsi" w:hAnsiTheme="minorHAnsi"/>
          <w:noProof/>
          <w:sz w:val="20"/>
          <w:szCs w:val="20"/>
        </w:rPr>
        <w:t xml:space="preserve">helminth infection in </w:t>
      </w:r>
      <w:r w:rsidRPr="000807C7">
        <w:rPr>
          <w:rFonts w:asciiTheme="minorHAnsi" w:hAnsiTheme="minorHAnsi"/>
          <w:noProof/>
          <w:sz w:val="20"/>
          <w:szCs w:val="20"/>
        </w:rPr>
        <w:t xml:space="preserve">early preschool-age children in a resource-poor community </w:t>
      </w:r>
      <w:r w:rsidR="00874464">
        <w:rPr>
          <w:rFonts w:asciiTheme="minorHAnsi" w:hAnsiTheme="minorHAnsi"/>
          <w:noProof/>
          <w:sz w:val="20"/>
          <w:szCs w:val="20"/>
        </w:rPr>
        <w:t xml:space="preserve">in the Amazon lowlands of Peru. </w:t>
      </w:r>
    </w:p>
    <w:p w14:paraId="538F508F" w14:textId="32436FD2" w:rsidR="00D20FEA" w:rsidRPr="000807C7" w:rsidRDefault="00D20FEA" w:rsidP="00874464">
      <w:pPr>
        <w:pStyle w:val="NormalWeb"/>
        <w:spacing w:before="0" w:beforeAutospacing="0" w:after="0" w:afterAutospacing="0"/>
        <w:ind w:left="480" w:hanging="480"/>
        <w:rPr>
          <w:rFonts w:asciiTheme="minorHAnsi" w:hAnsiTheme="minorHAnsi"/>
          <w:noProof/>
          <w:sz w:val="20"/>
          <w:szCs w:val="20"/>
        </w:rPr>
      </w:pPr>
      <w:r w:rsidRPr="000807C7">
        <w:rPr>
          <w:rFonts w:asciiTheme="minorHAnsi" w:hAnsiTheme="minorHAnsi"/>
          <w:i/>
          <w:iCs/>
          <w:noProof/>
          <w:sz w:val="20"/>
          <w:szCs w:val="20"/>
        </w:rPr>
        <w:t>Transactions of the Royal Society of Tropical Medicine and Hygiene</w:t>
      </w:r>
      <w:r w:rsidRPr="000807C7">
        <w:rPr>
          <w:rFonts w:asciiTheme="minorHAnsi" w:hAnsiTheme="minorHAnsi"/>
          <w:noProof/>
          <w:sz w:val="20"/>
          <w:szCs w:val="20"/>
        </w:rPr>
        <w:t xml:space="preserve">, </w:t>
      </w:r>
      <w:r w:rsidRPr="000807C7">
        <w:rPr>
          <w:rFonts w:asciiTheme="minorHAnsi" w:hAnsiTheme="minorHAnsi"/>
          <w:i/>
          <w:iCs/>
          <w:noProof/>
          <w:sz w:val="20"/>
          <w:szCs w:val="20"/>
        </w:rPr>
        <w:t>105</w:t>
      </w:r>
      <w:r w:rsidRPr="000807C7">
        <w:rPr>
          <w:rFonts w:asciiTheme="minorHAnsi" w:hAnsiTheme="minorHAnsi"/>
          <w:noProof/>
          <w:sz w:val="20"/>
          <w:szCs w:val="20"/>
        </w:rPr>
        <w:t>(4), 204–208.</w:t>
      </w:r>
    </w:p>
  </w:endnote>
  <w:endnote w:id="7">
    <w:p w14:paraId="3C12547E" w14:textId="77777777" w:rsidR="00D20FEA" w:rsidRPr="000807C7" w:rsidRDefault="00D20FEA" w:rsidP="00D20FEA">
      <w:pPr>
        <w:pStyle w:val="CommentText"/>
        <w:rPr>
          <w:rFonts w:cs="Knockout-32JuniorCruisewt"/>
        </w:rPr>
      </w:pPr>
      <w:r w:rsidRPr="000807C7">
        <w:rPr>
          <w:rStyle w:val="EndnoteReference"/>
        </w:rPr>
        <w:endnoteRef/>
      </w:r>
      <w:r w:rsidRPr="000807C7">
        <w:t xml:space="preserve"> Bustinduy, Amaya L, et al. (2013). </w:t>
      </w:r>
      <w:r w:rsidRPr="000807C7">
        <w:rPr>
          <w:rFonts w:cs="Knockout-32JuniorCruisewt"/>
        </w:rPr>
        <w:t>Impact of Polyparasitic Infections on Anemia and Undernutrition among Kenyan Children Living in a </w:t>
      </w:r>
      <w:r w:rsidRPr="000807C7">
        <w:rPr>
          <w:rFonts w:cs="Knockout-32JuniorCruisewt"/>
          <w:i/>
          <w:iCs/>
        </w:rPr>
        <w:t>Schistosoma h</w:t>
      </w:r>
      <w:bookmarkStart w:id="0" w:name="_GoBack"/>
      <w:bookmarkEnd w:id="0"/>
      <w:r w:rsidRPr="000807C7">
        <w:rPr>
          <w:rFonts w:cs="Knockout-32JuniorCruisewt"/>
          <w:i/>
          <w:iCs/>
        </w:rPr>
        <w:t>aematobium</w:t>
      </w:r>
      <w:r w:rsidRPr="000807C7">
        <w:rPr>
          <w:rFonts w:cs="Knockout-32JuniorCruisewt"/>
        </w:rPr>
        <w:t xml:space="preserve">-Endemic Area. </w:t>
      </w:r>
      <w:r w:rsidRPr="000807C7">
        <w:rPr>
          <w:rFonts w:cs="Knockout-32JuniorCruisewt"/>
          <w:i/>
        </w:rPr>
        <w:t>American Society of Tropical Hygiene and</w:t>
      </w:r>
      <w:r w:rsidRPr="000807C7">
        <w:rPr>
          <w:rFonts w:cs="Knockout-32JuniorCruisewt"/>
        </w:rPr>
        <w:t xml:space="preserve"> Medicine, 88 (3), pp. 433-440. </w:t>
      </w:r>
    </w:p>
  </w:endnote>
  <w:endnote w:id="8">
    <w:p w14:paraId="684BE1F8" w14:textId="77777777" w:rsidR="00D20FEA" w:rsidRPr="000807C7" w:rsidRDefault="00D20FEA" w:rsidP="00D20FEA">
      <w:pPr>
        <w:pStyle w:val="NoSpacing"/>
        <w:rPr>
          <w:sz w:val="20"/>
          <w:szCs w:val="20"/>
        </w:rPr>
      </w:pPr>
      <w:r w:rsidRPr="000807C7">
        <w:rPr>
          <w:rStyle w:val="EndnoteReference"/>
          <w:rFonts w:eastAsia="Times New Roman" w:cs="Times New Roman"/>
          <w:bCs/>
          <w:sz w:val="20"/>
          <w:szCs w:val="20"/>
        </w:rPr>
        <w:endnoteRef/>
      </w:r>
      <w:r w:rsidRPr="000807C7">
        <w:rPr>
          <w:rStyle w:val="EndnoteReference"/>
          <w:rFonts w:eastAsia="Times New Roman" w:cs="Times New Roman"/>
          <w:sz w:val="20"/>
          <w:szCs w:val="20"/>
        </w:rPr>
        <w:t xml:space="preserve"> </w:t>
      </w:r>
      <w:r w:rsidRPr="000807C7">
        <w:rPr>
          <w:bCs/>
          <w:sz w:val="20"/>
          <w:szCs w:val="20"/>
        </w:rPr>
        <w:fldChar w:fldCharType="begin"/>
      </w:r>
      <w:r w:rsidRPr="000807C7">
        <w:rPr>
          <w:bCs/>
          <w:sz w:val="20"/>
          <w:szCs w:val="20"/>
        </w:rPr>
        <w:instrText xml:space="preserve"> BIBLIOGRAPHY  \l 1033 </w:instrText>
      </w:r>
      <w:r w:rsidRPr="000807C7">
        <w:rPr>
          <w:bCs/>
          <w:sz w:val="20"/>
          <w:szCs w:val="20"/>
        </w:rPr>
        <w:fldChar w:fldCharType="separate"/>
      </w:r>
      <w:r w:rsidRPr="000807C7">
        <w:rPr>
          <w:bCs/>
          <w:sz w:val="20"/>
          <w:szCs w:val="20"/>
        </w:rPr>
        <w:t>Kassebaum, N. J. (2014). A Systematic Analysis of Global Anemia Burden from 1990 to 2010.</w:t>
      </w:r>
      <w:r w:rsidRPr="000807C7">
        <w:rPr>
          <w:bCs/>
          <w:i/>
          <w:sz w:val="20"/>
          <w:szCs w:val="20"/>
        </w:rPr>
        <w:t xml:space="preserve"> Blood</w:t>
      </w:r>
      <w:r w:rsidRPr="000807C7">
        <w:rPr>
          <w:bCs/>
          <w:sz w:val="20"/>
          <w:szCs w:val="20"/>
        </w:rPr>
        <w:t>, The American Society of Hematology, 123: 615-624.</w:t>
      </w:r>
      <w:r w:rsidRPr="000807C7">
        <w:rPr>
          <w:sz w:val="20"/>
          <w:szCs w:val="20"/>
        </w:rPr>
        <w:fldChar w:fldCharType="end"/>
      </w:r>
    </w:p>
  </w:endnote>
  <w:endnote w:id="9">
    <w:p w14:paraId="4228E4C0" w14:textId="77777777" w:rsidR="00D20FEA" w:rsidRPr="000807C7" w:rsidRDefault="00D20FEA" w:rsidP="00D20FEA">
      <w:pPr>
        <w:pStyle w:val="NoSpacing"/>
        <w:rPr>
          <w:noProof/>
          <w:sz w:val="20"/>
          <w:szCs w:val="20"/>
        </w:rPr>
      </w:pPr>
      <w:r w:rsidRPr="000807C7">
        <w:rPr>
          <w:rStyle w:val="EndnoteReference"/>
          <w:sz w:val="20"/>
          <w:szCs w:val="20"/>
        </w:rPr>
        <w:endnoteRef/>
      </w:r>
      <w:r w:rsidRPr="000807C7">
        <w:rPr>
          <w:sz w:val="20"/>
          <w:szCs w:val="20"/>
        </w:rPr>
        <w:t xml:space="preserve"> </w:t>
      </w:r>
      <w:r w:rsidRPr="000807C7">
        <w:rPr>
          <w:noProof/>
          <w:sz w:val="20"/>
          <w:szCs w:val="20"/>
        </w:rPr>
        <w:t>Hotez, P. J. (2009). Empowering Women and Improving Female Reproductive Health through Control of Neglected Tropical</w:t>
      </w:r>
    </w:p>
    <w:p w14:paraId="35DC64AE" w14:textId="77777777" w:rsidR="00D20FEA" w:rsidRPr="000807C7" w:rsidRDefault="00D20FEA" w:rsidP="00D20FEA">
      <w:pPr>
        <w:pStyle w:val="NoSpacing"/>
        <w:rPr>
          <w:noProof/>
          <w:sz w:val="20"/>
          <w:szCs w:val="20"/>
        </w:rPr>
      </w:pPr>
      <w:r w:rsidRPr="000807C7">
        <w:rPr>
          <w:noProof/>
          <w:sz w:val="20"/>
          <w:szCs w:val="20"/>
        </w:rPr>
        <w:t xml:space="preserve">Diseases. </w:t>
      </w:r>
      <w:r w:rsidRPr="000807C7">
        <w:rPr>
          <w:i/>
          <w:noProof/>
          <w:sz w:val="20"/>
          <w:szCs w:val="20"/>
        </w:rPr>
        <w:t xml:space="preserve">PLOS Neglected Tropical Diseases, </w:t>
      </w:r>
      <w:r w:rsidRPr="000807C7">
        <w:rPr>
          <w:i/>
          <w:iCs/>
          <w:noProof/>
          <w:sz w:val="20"/>
          <w:szCs w:val="20"/>
        </w:rPr>
        <w:t>3</w:t>
      </w:r>
      <w:r w:rsidRPr="000807C7">
        <w:rPr>
          <w:noProof/>
          <w:sz w:val="20"/>
          <w:szCs w:val="20"/>
        </w:rPr>
        <w:t xml:space="preserve">(11), 1–4. </w:t>
      </w:r>
    </w:p>
  </w:endnote>
  <w:endnote w:id="10">
    <w:p w14:paraId="630F3343" w14:textId="77777777" w:rsidR="00D20FEA" w:rsidRDefault="00D20FEA" w:rsidP="00D20FEA">
      <w:pPr>
        <w:pStyle w:val="EndnoteText"/>
      </w:pPr>
      <w:r>
        <w:rPr>
          <w:rStyle w:val="EndnoteReference"/>
        </w:rPr>
        <w:endnoteRef/>
      </w:r>
      <w:r>
        <w:t xml:space="preserve"> </w:t>
      </w:r>
      <w:r w:rsidRPr="000807C7">
        <w:t xml:space="preserve">Friedman, Jennifer F., et al. (2007). Schistosomiasis and Pregnancy.  </w:t>
      </w:r>
      <w:r w:rsidRPr="000807C7">
        <w:rPr>
          <w:i/>
        </w:rPr>
        <w:t>TRENDS in Parasitology</w:t>
      </w:r>
      <w:r w:rsidRPr="000807C7">
        <w:t>, 23 (4), pp. 158-164.</w:t>
      </w:r>
    </w:p>
  </w:endnote>
  <w:endnote w:id="11">
    <w:p w14:paraId="592E7930" w14:textId="77777777" w:rsidR="00D20FEA" w:rsidRPr="000807C7" w:rsidRDefault="00D20FEA" w:rsidP="00D20FEA">
      <w:pPr>
        <w:pStyle w:val="NormalWeb"/>
        <w:spacing w:before="0" w:beforeAutospacing="0" w:after="0" w:afterAutospacing="0"/>
        <w:ind w:left="480" w:hanging="480"/>
        <w:rPr>
          <w:rFonts w:asciiTheme="minorHAnsi" w:hAnsiTheme="minorHAnsi"/>
          <w:i/>
          <w:iCs/>
          <w:noProof/>
          <w:sz w:val="20"/>
          <w:szCs w:val="20"/>
        </w:rPr>
      </w:pPr>
      <w:r w:rsidRPr="000807C7">
        <w:rPr>
          <w:rStyle w:val="EndnoteReference"/>
          <w:rFonts w:asciiTheme="minorHAnsi" w:hAnsiTheme="minorHAnsi"/>
          <w:sz w:val="20"/>
          <w:szCs w:val="20"/>
        </w:rPr>
        <w:endnoteRef/>
      </w:r>
      <w:r w:rsidRPr="000807C7">
        <w:rPr>
          <w:rFonts w:asciiTheme="minorHAnsi" w:hAnsiTheme="minorHAnsi"/>
          <w:sz w:val="20"/>
          <w:szCs w:val="20"/>
        </w:rPr>
        <w:t xml:space="preserve"> </w:t>
      </w:r>
      <w:r w:rsidRPr="000807C7">
        <w:rPr>
          <w:rFonts w:asciiTheme="minorHAnsi" w:hAnsiTheme="minorHAnsi"/>
          <w:i/>
          <w:iCs/>
          <w:noProof/>
          <w:sz w:val="20"/>
          <w:szCs w:val="20"/>
        </w:rPr>
        <w:t>Sustaining the drive to overcome the global impact of neglected tropical diseases: Second WHO Report on Neglected Tropical</w:t>
      </w:r>
    </w:p>
    <w:p w14:paraId="66EC1D32" w14:textId="77777777" w:rsidR="00D20FEA" w:rsidRPr="000807C7" w:rsidRDefault="00D20FEA" w:rsidP="00D20FEA">
      <w:pPr>
        <w:pStyle w:val="NoSpacing"/>
        <w:rPr>
          <w:i/>
          <w:iCs/>
          <w:noProof/>
          <w:sz w:val="20"/>
          <w:szCs w:val="20"/>
        </w:rPr>
      </w:pPr>
      <w:r w:rsidRPr="000807C7">
        <w:rPr>
          <w:i/>
          <w:iCs/>
          <w:noProof/>
          <w:sz w:val="20"/>
          <w:szCs w:val="20"/>
        </w:rPr>
        <w:t>Diseases</w:t>
      </w:r>
      <w:r w:rsidRPr="000807C7">
        <w:rPr>
          <w:noProof/>
          <w:sz w:val="20"/>
          <w:szCs w:val="20"/>
        </w:rPr>
        <w:t xml:space="preserve">. (2013). Retrieved from </w:t>
      </w:r>
      <w:r w:rsidRPr="001D032D">
        <w:rPr>
          <w:noProof/>
          <w:color w:val="0000FF"/>
          <w:sz w:val="20"/>
          <w:szCs w:val="20"/>
          <w:u w:val="single"/>
        </w:rPr>
        <w:t>http://www.who.int/neglected_diseases/2012report/en/</w:t>
      </w:r>
    </w:p>
  </w:endnote>
  <w:endnote w:id="12">
    <w:p w14:paraId="0B29038C" w14:textId="77777777" w:rsidR="00D20FEA" w:rsidRDefault="00D20FEA" w:rsidP="00D20FEA">
      <w:pPr>
        <w:pStyle w:val="EndnoteText"/>
      </w:pPr>
      <w:r>
        <w:rPr>
          <w:rStyle w:val="EndnoteReference"/>
        </w:rPr>
        <w:endnoteRef/>
      </w:r>
      <w:r>
        <w:t xml:space="preserve"> Maternal Mortality, Fact Sheet Number 348, May 2014. World Health Organization. Retrieved from </w:t>
      </w:r>
      <w:hyperlink r:id="rId2" w:history="1">
        <w:r w:rsidRPr="00D91A03">
          <w:rPr>
            <w:rStyle w:val="Hyperlink"/>
          </w:rPr>
          <w:t>http://www.who.int/mediacentre/factsheets/fs348/en/</w:t>
        </w:r>
      </w:hyperlink>
      <w:r>
        <w:t xml:space="preserve">. </w:t>
      </w:r>
    </w:p>
  </w:endnote>
  <w:endnote w:id="13">
    <w:p w14:paraId="3F79D96B" w14:textId="77777777" w:rsidR="00D20FEA" w:rsidRDefault="00D20FEA" w:rsidP="00D20FEA">
      <w:pPr>
        <w:pStyle w:val="NormalWeb"/>
        <w:spacing w:before="0" w:beforeAutospacing="0" w:after="0" w:afterAutospacing="0"/>
        <w:ind w:left="480" w:hanging="480"/>
        <w:rPr>
          <w:rFonts w:asciiTheme="minorHAnsi" w:hAnsiTheme="minorHAnsi"/>
          <w:i/>
          <w:iCs/>
          <w:noProof/>
          <w:sz w:val="20"/>
          <w:szCs w:val="20"/>
        </w:rPr>
      </w:pPr>
      <w:r w:rsidRPr="0091621D">
        <w:rPr>
          <w:rStyle w:val="EndnoteReference"/>
          <w:rFonts w:asciiTheme="minorHAnsi" w:eastAsiaTheme="minorEastAsia" w:hAnsiTheme="minorHAnsi" w:cstheme="minorBidi"/>
          <w:sz w:val="20"/>
          <w:szCs w:val="20"/>
        </w:rPr>
        <w:endnoteRef/>
      </w:r>
      <w:r>
        <w:t xml:space="preserve"> </w:t>
      </w:r>
      <w:r w:rsidRPr="000807C7">
        <w:rPr>
          <w:rFonts w:asciiTheme="minorHAnsi" w:hAnsiTheme="minorHAnsi"/>
          <w:i/>
          <w:iCs/>
          <w:noProof/>
          <w:sz w:val="20"/>
          <w:szCs w:val="20"/>
        </w:rPr>
        <w:t>Sustaining the drive to overcome the global impact of neglected tropical diseases: Second</w:t>
      </w:r>
      <w:r>
        <w:rPr>
          <w:rFonts w:asciiTheme="minorHAnsi" w:hAnsiTheme="minorHAnsi"/>
          <w:i/>
          <w:iCs/>
          <w:noProof/>
          <w:sz w:val="20"/>
          <w:szCs w:val="20"/>
        </w:rPr>
        <w:t xml:space="preserve"> </w:t>
      </w:r>
      <w:r w:rsidRPr="000807C7">
        <w:rPr>
          <w:rFonts w:asciiTheme="minorHAnsi" w:hAnsiTheme="minorHAnsi"/>
          <w:i/>
          <w:iCs/>
          <w:noProof/>
          <w:sz w:val="20"/>
          <w:szCs w:val="20"/>
        </w:rPr>
        <w:t xml:space="preserve">WHO Report on Neglected Tropical </w:t>
      </w:r>
    </w:p>
    <w:p w14:paraId="4096A341" w14:textId="77777777" w:rsidR="00D20FEA" w:rsidRPr="0091621D" w:rsidRDefault="00D20FEA" w:rsidP="00D20FEA">
      <w:pPr>
        <w:pStyle w:val="NormalWeb"/>
        <w:spacing w:before="0" w:beforeAutospacing="0" w:after="0" w:afterAutospacing="0"/>
        <w:rPr>
          <w:rFonts w:asciiTheme="minorHAnsi" w:hAnsiTheme="minorHAnsi"/>
          <w:i/>
          <w:iCs/>
          <w:noProof/>
          <w:sz w:val="20"/>
          <w:szCs w:val="20"/>
        </w:rPr>
      </w:pPr>
      <w:r w:rsidRPr="000807C7">
        <w:rPr>
          <w:rFonts w:asciiTheme="minorHAnsi" w:hAnsiTheme="minorHAnsi"/>
          <w:i/>
          <w:iCs/>
          <w:noProof/>
          <w:sz w:val="20"/>
          <w:szCs w:val="20"/>
        </w:rPr>
        <w:t>Diseases</w:t>
      </w:r>
      <w:r w:rsidRPr="000807C7">
        <w:rPr>
          <w:rFonts w:asciiTheme="minorHAnsi" w:hAnsiTheme="minorHAnsi"/>
          <w:noProof/>
          <w:sz w:val="20"/>
          <w:szCs w:val="20"/>
        </w:rPr>
        <w:t xml:space="preserve">. (2013). Retrieved from </w:t>
      </w:r>
      <w:r w:rsidRPr="00D07F98">
        <w:rPr>
          <w:rFonts w:asciiTheme="minorHAnsi" w:hAnsiTheme="minorHAnsi"/>
          <w:noProof/>
          <w:color w:val="0000FF"/>
          <w:sz w:val="20"/>
          <w:szCs w:val="20"/>
          <w:u w:val="single"/>
        </w:rPr>
        <w:t>http://www.who.int/neglected_diseases/2012report/en/</w:t>
      </w:r>
    </w:p>
  </w:endnote>
  <w:endnote w:id="14">
    <w:p w14:paraId="452E85F5" w14:textId="77777777" w:rsidR="005918E6" w:rsidRPr="000807C7" w:rsidRDefault="005918E6" w:rsidP="005918E6">
      <w:pPr>
        <w:pStyle w:val="EndnoteText"/>
      </w:pPr>
      <w:r w:rsidRPr="000807C7">
        <w:rPr>
          <w:rStyle w:val="EndnoteReference"/>
        </w:rPr>
        <w:endnoteRef/>
      </w:r>
      <w:r>
        <w:t xml:space="preserve"> </w:t>
      </w:r>
      <w:r w:rsidRPr="000807C7">
        <w:rPr>
          <w:i/>
        </w:rPr>
        <w:t xml:space="preserve">Investing in the future: A United Call to Action on Vitamin and Mineral Deficiencies </w:t>
      </w:r>
      <w:r w:rsidRPr="000807C7">
        <w:t xml:space="preserve">(2009). Retrieved from: </w:t>
      </w:r>
      <w:r w:rsidRPr="001D032D">
        <w:rPr>
          <w:color w:val="0000FF"/>
          <w:u w:val="single"/>
        </w:rPr>
        <w:t>http://www.unitedcalltoaction.org/documents/Investing_in_the_future.pdf</w:t>
      </w:r>
    </w:p>
  </w:endnote>
  <w:endnote w:id="15">
    <w:p w14:paraId="24D5EC90" w14:textId="77777777" w:rsidR="005918E6" w:rsidRPr="000807C7" w:rsidRDefault="005918E6" w:rsidP="005918E6">
      <w:pPr>
        <w:pStyle w:val="NormalWeb"/>
        <w:spacing w:before="0" w:beforeAutospacing="0" w:after="0" w:afterAutospacing="0"/>
        <w:rPr>
          <w:rFonts w:asciiTheme="minorHAnsi" w:hAnsiTheme="minorHAnsi"/>
          <w:noProof/>
          <w:sz w:val="20"/>
          <w:szCs w:val="20"/>
        </w:rPr>
      </w:pPr>
      <w:r w:rsidRPr="000807C7">
        <w:rPr>
          <w:rStyle w:val="EndnoteReference"/>
          <w:rFonts w:asciiTheme="minorHAnsi" w:hAnsiTheme="minorHAnsi"/>
          <w:sz w:val="20"/>
          <w:szCs w:val="20"/>
        </w:rPr>
        <w:endnoteRef/>
      </w:r>
      <w:r>
        <w:rPr>
          <w:rFonts w:asciiTheme="minorHAnsi" w:hAnsiTheme="minorHAnsi"/>
          <w:noProof/>
          <w:sz w:val="20"/>
          <w:szCs w:val="20"/>
        </w:rPr>
        <w:t xml:space="preserve"> </w:t>
      </w:r>
      <w:r w:rsidRPr="000807C7">
        <w:rPr>
          <w:rFonts w:asciiTheme="minorHAnsi" w:hAnsiTheme="minorHAnsi"/>
          <w:noProof/>
          <w:sz w:val="20"/>
          <w:szCs w:val="20"/>
        </w:rPr>
        <w:t xml:space="preserve">Ahmed, T., Hossain, M., &amp; Sanin, K. I. (2012). Global burden of maternal and child undernutrition and micronutrient deficiencies. </w:t>
      </w:r>
      <w:r w:rsidRPr="000807C7">
        <w:rPr>
          <w:rFonts w:asciiTheme="minorHAnsi" w:hAnsiTheme="minorHAnsi"/>
          <w:i/>
          <w:iCs/>
          <w:noProof/>
          <w:sz w:val="20"/>
          <w:szCs w:val="20"/>
        </w:rPr>
        <w:t>Annals of Nutrition &amp; Metabolism</w:t>
      </w:r>
      <w:r w:rsidRPr="000807C7">
        <w:rPr>
          <w:rFonts w:asciiTheme="minorHAnsi" w:hAnsiTheme="minorHAnsi"/>
          <w:noProof/>
          <w:sz w:val="20"/>
          <w:szCs w:val="20"/>
        </w:rPr>
        <w:t xml:space="preserve">, </w:t>
      </w:r>
      <w:r w:rsidRPr="000807C7">
        <w:rPr>
          <w:rFonts w:asciiTheme="minorHAnsi" w:hAnsiTheme="minorHAnsi"/>
          <w:iCs/>
          <w:noProof/>
          <w:sz w:val="20"/>
          <w:szCs w:val="20"/>
        </w:rPr>
        <w:t>61 Suppl 1</w:t>
      </w:r>
      <w:r w:rsidRPr="000807C7">
        <w:rPr>
          <w:rFonts w:asciiTheme="minorHAnsi" w:hAnsiTheme="minorHAnsi"/>
          <w:noProof/>
          <w:sz w:val="20"/>
          <w:szCs w:val="20"/>
        </w:rPr>
        <w:t xml:space="preserve">(suppl 1), 8–17. </w:t>
      </w:r>
    </w:p>
  </w:endnote>
  <w:endnote w:id="16">
    <w:p w14:paraId="3DE1061D" w14:textId="77777777" w:rsidR="005918E6" w:rsidRPr="000807C7" w:rsidRDefault="005918E6" w:rsidP="005918E6">
      <w:pPr>
        <w:pStyle w:val="EndnoteText"/>
      </w:pPr>
      <w:r w:rsidRPr="000807C7">
        <w:rPr>
          <w:rStyle w:val="EndnoteReference"/>
        </w:rPr>
        <w:endnoteRef/>
      </w:r>
      <w:r w:rsidRPr="000807C7">
        <w:t xml:space="preserve"> Curtale F, Pokhrel RP, Tilden RL, Higashi G. (1996). Intestinal helminths and xerophthalmia in Nepal. A case-control study. </w:t>
      </w:r>
      <w:r w:rsidRPr="000807C7">
        <w:rPr>
          <w:i/>
        </w:rPr>
        <w:t>J Trop Pediatr</w:t>
      </w:r>
      <w:r w:rsidRPr="000807C7">
        <w:t xml:space="preserve"> 41, 334-337.</w:t>
      </w:r>
    </w:p>
  </w:endnote>
  <w:endnote w:id="17">
    <w:p w14:paraId="7CB44A0B" w14:textId="77777777" w:rsidR="005918E6" w:rsidRPr="000807C7" w:rsidRDefault="005918E6" w:rsidP="005918E6">
      <w:pPr>
        <w:pStyle w:val="NormalWeb"/>
        <w:spacing w:before="0" w:beforeAutospacing="0" w:after="0" w:afterAutospacing="0"/>
        <w:rPr>
          <w:rFonts w:asciiTheme="minorHAnsi" w:hAnsiTheme="minorHAnsi"/>
          <w:noProof/>
          <w:sz w:val="20"/>
          <w:szCs w:val="20"/>
        </w:rPr>
      </w:pPr>
      <w:r w:rsidRPr="000807C7">
        <w:rPr>
          <w:rStyle w:val="EndnoteReference"/>
          <w:rFonts w:asciiTheme="minorHAnsi" w:hAnsiTheme="minorHAnsi"/>
          <w:sz w:val="20"/>
          <w:szCs w:val="20"/>
        </w:rPr>
        <w:endnoteRef/>
      </w:r>
      <w:r w:rsidRPr="000807C7">
        <w:rPr>
          <w:rFonts w:asciiTheme="minorHAnsi" w:hAnsiTheme="minorHAnsi"/>
          <w:sz w:val="20"/>
          <w:szCs w:val="20"/>
        </w:rPr>
        <w:t xml:space="preserve"> </w:t>
      </w:r>
      <w:r w:rsidRPr="000807C7">
        <w:rPr>
          <w:rFonts w:asciiTheme="minorHAnsi" w:hAnsiTheme="minorHAnsi"/>
          <w:i/>
          <w:iCs/>
          <w:noProof/>
          <w:sz w:val="20"/>
          <w:szCs w:val="20"/>
        </w:rPr>
        <w:t>How to add deworming to vitamin A distribution</w:t>
      </w:r>
      <w:r w:rsidRPr="000807C7">
        <w:rPr>
          <w:rFonts w:asciiTheme="minorHAnsi" w:hAnsiTheme="minorHAnsi"/>
          <w:noProof/>
          <w:sz w:val="20"/>
          <w:szCs w:val="20"/>
        </w:rPr>
        <w:t xml:space="preserve">. (2004). World Health Organization and UNICEF. Retrieved from </w:t>
      </w:r>
      <w:r w:rsidRPr="001D032D">
        <w:rPr>
          <w:rFonts w:asciiTheme="minorHAnsi" w:hAnsiTheme="minorHAnsi"/>
          <w:noProof/>
          <w:color w:val="0000FF"/>
          <w:sz w:val="20"/>
          <w:szCs w:val="20"/>
          <w:u w:val="single"/>
        </w:rPr>
        <w:t>http://whqlibdoc.who.int/hq/2004/WHO_CDS_CPE_PVC_2004.11.pdf</w:t>
      </w:r>
    </w:p>
  </w:endnote>
  <w:endnote w:id="18">
    <w:p w14:paraId="0E7A7754" w14:textId="77777777" w:rsidR="00ED7851" w:rsidRPr="000807C7" w:rsidRDefault="00ED7851" w:rsidP="00ED7851">
      <w:pPr>
        <w:pStyle w:val="EndnoteText"/>
      </w:pPr>
      <w:r w:rsidRPr="000807C7">
        <w:rPr>
          <w:rStyle w:val="EndnoteReference"/>
        </w:rPr>
        <w:endnoteRef/>
      </w:r>
      <w:r w:rsidRPr="000807C7">
        <w:t xml:space="preserve"> Awasthi S, Peto R, Pande VK, Fletcher RH, Read S, Bundy DAP. (2008). Effects of de-worming on malnourished pre-school children in India: an open-labelled, cluster-randomised trial. </w:t>
      </w:r>
      <w:r w:rsidRPr="000807C7">
        <w:rPr>
          <w:i/>
        </w:rPr>
        <w:t>PLoS Negl Trop Dis</w:t>
      </w:r>
      <w:r w:rsidRPr="000807C7">
        <w:t>. 2, e223.</w:t>
      </w:r>
    </w:p>
  </w:endnote>
  <w:endnote w:id="19">
    <w:p w14:paraId="4DB3EEF7" w14:textId="77777777" w:rsidR="00ED7851" w:rsidRPr="000807C7" w:rsidRDefault="00ED7851" w:rsidP="00ED7851">
      <w:pPr>
        <w:pStyle w:val="EndnoteText"/>
        <w:rPr>
          <w:lang w:val="de-DE"/>
        </w:rPr>
      </w:pPr>
      <w:r w:rsidRPr="000807C7">
        <w:rPr>
          <w:rStyle w:val="EndnoteReference"/>
        </w:rPr>
        <w:endnoteRef/>
      </w:r>
      <w:r w:rsidRPr="000807C7">
        <w:t xml:space="preserve"> Passerini L, Casey GJ, Biggs BA, Cong DT, Phu LB, et al. (2012). Increased Birth Weight Associated with Regular Pre-Pregnancy Deworming and Weekly Iron-Folic Acid Supplementation for Vietnamese Women. </w:t>
      </w:r>
      <w:r w:rsidRPr="000807C7">
        <w:rPr>
          <w:i/>
          <w:lang w:val="de-DE"/>
        </w:rPr>
        <w:t xml:space="preserve">PLoS Negl Trop Dis. </w:t>
      </w:r>
      <w:r w:rsidRPr="000807C7">
        <w:rPr>
          <w:lang w:val="de-DE"/>
        </w:rPr>
        <w:t>6(4), e1608.</w:t>
      </w:r>
    </w:p>
  </w:endnote>
  <w:endnote w:id="20">
    <w:p w14:paraId="0AE3621C" w14:textId="77777777" w:rsidR="00ED7851" w:rsidRDefault="00ED7851" w:rsidP="00ED7851">
      <w:pPr>
        <w:pStyle w:val="EndnoteText"/>
      </w:pPr>
      <w:r>
        <w:rPr>
          <w:rStyle w:val="EndnoteReference"/>
        </w:rPr>
        <w:endnoteRef/>
      </w:r>
      <w:r>
        <w:t xml:space="preserve"> Christian P., et al. (2004). Antenatal anthelminthic treatment, birthweight, and infant survival in rural Nepal. The Lancet, 364:981-983.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otham">
    <w:altName w:val="Gotham"/>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Knockout-32JuniorCruisewt">
    <w:panose1 w:val="00000000000000000000"/>
    <w:charset w:val="00"/>
    <w:family w:val="swiss"/>
    <w:notTrueType/>
    <w:pitch w:val="default"/>
    <w:sig w:usb0="00000003" w:usb1="00000000" w:usb2="00000000" w:usb3="00000000" w:csb0="00000001" w:csb1="00000000"/>
  </w:font>
  <w:font w:name="Knockout 32 Junior Cruisewt">
    <w:altName w:val="Arial"/>
    <w:panose1 w:val="00000000000000000000"/>
    <w:charset w:val="00"/>
    <w:family w:val="modern"/>
    <w:notTrueType/>
    <w:pitch w:val="variable"/>
    <w:sig w:usb0="00000001" w:usb1="00000000" w:usb2="00000000" w:usb3="00000000" w:csb0="0000000B"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80385"/>
      <w:docPartObj>
        <w:docPartGallery w:val="Page Numbers (Bottom of Page)"/>
        <w:docPartUnique/>
      </w:docPartObj>
    </w:sdtPr>
    <w:sdtEndPr/>
    <w:sdtContent>
      <w:sdt>
        <w:sdtPr>
          <w:id w:val="-1769616900"/>
          <w:docPartObj>
            <w:docPartGallery w:val="Page Numbers (Top of Page)"/>
            <w:docPartUnique/>
          </w:docPartObj>
        </w:sdtPr>
        <w:sdtEndPr/>
        <w:sdtContent>
          <w:p w14:paraId="55A16FE2" w14:textId="29DDA4FF" w:rsidR="00811399" w:rsidRDefault="0081139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A5A36">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A5A36">
              <w:rPr>
                <w:b/>
                <w:bCs/>
                <w:noProof/>
              </w:rPr>
              <w:t>3</w:t>
            </w:r>
            <w:r>
              <w:rPr>
                <w:b/>
                <w:bCs/>
                <w:sz w:val="24"/>
                <w:szCs w:val="24"/>
              </w:rPr>
              <w:fldChar w:fldCharType="end"/>
            </w:r>
          </w:p>
        </w:sdtContent>
      </w:sdt>
    </w:sdtContent>
  </w:sdt>
  <w:p w14:paraId="32F55888" w14:textId="77777777" w:rsidR="00811399" w:rsidRDefault="008113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EA68D0" w14:textId="77777777" w:rsidR="002E7B12" w:rsidRDefault="002E7B12" w:rsidP="00D56EA7">
      <w:pPr>
        <w:spacing w:after="0" w:line="240" w:lineRule="auto"/>
      </w:pPr>
      <w:r>
        <w:separator/>
      </w:r>
    </w:p>
  </w:footnote>
  <w:footnote w:type="continuationSeparator" w:id="0">
    <w:p w14:paraId="6B6CD3F4" w14:textId="77777777" w:rsidR="002E7B12" w:rsidRDefault="002E7B12" w:rsidP="00D56E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D3A1A"/>
    <w:multiLevelType w:val="hybridMultilevel"/>
    <w:tmpl w:val="668CA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F0519"/>
    <w:multiLevelType w:val="hybridMultilevel"/>
    <w:tmpl w:val="47A29D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A2854D4"/>
    <w:multiLevelType w:val="hybridMultilevel"/>
    <w:tmpl w:val="175EF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745D46"/>
    <w:multiLevelType w:val="hybridMultilevel"/>
    <w:tmpl w:val="867A7F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7E373A"/>
    <w:multiLevelType w:val="hybridMultilevel"/>
    <w:tmpl w:val="91ACF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141B5D"/>
    <w:multiLevelType w:val="multilevel"/>
    <w:tmpl w:val="EA5C8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0B722ED"/>
    <w:multiLevelType w:val="hybridMultilevel"/>
    <w:tmpl w:val="42EA83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C57275"/>
    <w:multiLevelType w:val="hybridMultilevel"/>
    <w:tmpl w:val="74A20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E65853"/>
    <w:multiLevelType w:val="multilevel"/>
    <w:tmpl w:val="49C4472E"/>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9DF7DEA"/>
    <w:multiLevelType w:val="multilevel"/>
    <w:tmpl w:val="8CBA3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3023C8"/>
    <w:multiLevelType w:val="hybridMultilevel"/>
    <w:tmpl w:val="B6205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4F273E"/>
    <w:multiLevelType w:val="hybridMultilevel"/>
    <w:tmpl w:val="3C969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412806"/>
    <w:multiLevelType w:val="hybridMultilevel"/>
    <w:tmpl w:val="42EA83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AA1677"/>
    <w:multiLevelType w:val="multilevel"/>
    <w:tmpl w:val="12129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5"/>
    <w:lvlOverride w:ilvl="0">
      <w:startOverride w:val="2"/>
    </w:lvlOverride>
  </w:num>
  <w:num w:numId="4">
    <w:abstractNumId w:val="5"/>
    <w:lvlOverride w:ilvl="0">
      <w:startOverride w:val="3"/>
    </w:lvlOverride>
  </w:num>
  <w:num w:numId="5">
    <w:abstractNumId w:val="5"/>
    <w:lvlOverride w:ilvl="0">
      <w:startOverride w:val="4"/>
    </w:lvlOverride>
  </w:num>
  <w:num w:numId="6">
    <w:abstractNumId w:val="10"/>
  </w:num>
  <w:num w:numId="7">
    <w:abstractNumId w:val="1"/>
  </w:num>
  <w:num w:numId="8">
    <w:abstractNumId w:val="3"/>
  </w:num>
  <w:num w:numId="9">
    <w:abstractNumId w:val="11"/>
  </w:num>
  <w:num w:numId="10">
    <w:abstractNumId w:val="7"/>
  </w:num>
  <w:num w:numId="11">
    <w:abstractNumId w:val="12"/>
  </w:num>
  <w:num w:numId="12">
    <w:abstractNumId w:val="6"/>
  </w:num>
  <w:num w:numId="13">
    <w:abstractNumId w:val="2"/>
  </w:num>
  <w:num w:numId="14">
    <w:abstractNumId w:val="4"/>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464"/>
    <w:rsid w:val="0000593C"/>
    <w:rsid w:val="000540C6"/>
    <w:rsid w:val="00086017"/>
    <w:rsid w:val="000F20F4"/>
    <w:rsid w:val="00233ABB"/>
    <w:rsid w:val="002E7B12"/>
    <w:rsid w:val="0034473D"/>
    <w:rsid w:val="00384109"/>
    <w:rsid w:val="00387ED6"/>
    <w:rsid w:val="003D344C"/>
    <w:rsid w:val="004F7875"/>
    <w:rsid w:val="005338DE"/>
    <w:rsid w:val="0053674E"/>
    <w:rsid w:val="005918E6"/>
    <w:rsid w:val="006E650E"/>
    <w:rsid w:val="007479A0"/>
    <w:rsid w:val="00784AAE"/>
    <w:rsid w:val="007A5A36"/>
    <w:rsid w:val="00811399"/>
    <w:rsid w:val="00815ED5"/>
    <w:rsid w:val="008426D8"/>
    <w:rsid w:val="00851D55"/>
    <w:rsid w:val="00874464"/>
    <w:rsid w:val="008C1D1F"/>
    <w:rsid w:val="00973FAC"/>
    <w:rsid w:val="00A36467"/>
    <w:rsid w:val="00A575C9"/>
    <w:rsid w:val="00AB4033"/>
    <w:rsid w:val="00B82A2F"/>
    <w:rsid w:val="00B8548E"/>
    <w:rsid w:val="00C12464"/>
    <w:rsid w:val="00CA5E2A"/>
    <w:rsid w:val="00D20FEA"/>
    <w:rsid w:val="00D5358E"/>
    <w:rsid w:val="00D56EA7"/>
    <w:rsid w:val="00D837CB"/>
    <w:rsid w:val="00DF71F4"/>
    <w:rsid w:val="00EA7CEC"/>
    <w:rsid w:val="00ED78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D81CD"/>
  <w15:chartTrackingRefBased/>
  <w15:docId w15:val="{AC3D8222-F501-47EE-8D16-3C55BE651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EA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2464"/>
    <w:rPr>
      <w:color w:val="0563C1" w:themeColor="hyperlink"/>
      <w:u w:val="single"/>
    </w:rPr>
  </w:style>
  <w:style w:type="paragraph" w:styleId="NormalWeb">
    <w:name w:val="Normal (Web)"/>
    <w:basedOn w:val="Normal"/>
    <w:uiPriority w:val="99"/>
    <w:unhideWhenUsed/>
    <w:rsid w:val="00784AA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84AAE"/>
    <w:rPr>
      <w:b/>
      <w:bCs/>
    </w:rPr>
  </w:style>
  <w:style w:type="paragraph" w:styleId="NoSpacing">
    <w:name w:val="No Spacing"/>
    <w:link w:val="NoSpacingChar"/>
    <w:uiPriority w:val="1"/>
    <w:qFormat/>
    <w:rsid w:val="00851D55"/>
    <w:pPr>
      <w:spacing w:after="0" w:line="240" w:lineRule="auto"/>
    </w:pPr>
  </w:style>
  <w:style w:type="paragraph" w:styleId="ListParagraph">
    <w:name w:val="List Paragraph"/>
    <w:basedOn w:val="Normal"/>
    <w:uiPriority w:val="34"/>
    <w:qFormat/>
    <w:rsid w:val="00D56EA7"/>
    <w:pPr>
      <w:ind w:left="720"/>
      <w:contextualSpacing/>
    </w:pPr>
  </w:style>
  <w:style w:type="character" w:customStyle="1" w:styleId="NoSpacingChar">
    <w:name w:val="No Spacing Char"/>
    <w:basedOn w:val="DefaultParagraphFont"/>
    <w:link w:val="NoSpacing"/>
    <w:uiPriority w:val="1"/>
    <w:rsid w:val="00D56EA7"/>
  </w:style>
  <w:style w:type="character" w:styleId="EndnoteReference">
    <w:name w:val="endnote reference"/>
    <w:basedOn w:val="DefaultParagraphFont"/>
    <w:uiPriority w:val="99"/>
    <w:unhideWhenUsed/>
    <w:rsid w:val="00D56EA7"/>
    <w:rPr>
      <w:vertAlign w:val="superscript"/>
    </w:rPr>
  </w:style>
  <w:style w:type="paragraph" w:styleId="EndnoteText">
    <w:name w:val="endnote text"/>
    <w:basedOn w:val="Normal"/>
    <w:link w:val="EndnoteTextChar"/>
    <w:uiPriority w:val="99"/>
    <w:unhideWhenUsed/>
    <w:rsid w:val="00D56EA7"/>
    <w:pPr>
      <w:spacing w:after="0" w:line="240" w:lineRule="auto"/>
    </w:pPr>
    <w:rPr>
      <w:rFonts w:eastAsiaTheme="minorEastAsia"/>
      <w:sz w:val="20"/>
      <w:szCs w:val="20"/>
    </w:rPr>
  </w:style>
  <w:style w:type="character" w:customStyle="1" w:styleId="EndnoteTextChar">
    <w:name w:val="Endnote Text Char"/>
    <w:basedOn w:val="DefaultParagraphFont"/>
    <w:link w:val="EndnoteText"/>
    <w:uiPriority w:val="99"/>
    <w:rsid w:val="00D56EA7"/>
    <w:rPr>
      <w:rFonts w:eastAsiaTheme="minorEastAsia"/>
      <w:sz w:val="20"/>
      <w:szCs w:val="20"/>
    </w:rPr>
  </w:style>
  <w:style w:type="character" w:styleId="CommentReference">
    <w:name w:val="annotation reference"/>
    <w:basedOn w:val="DefaultParagraphFont"/>
    <w:uiPriority w:val="99"/>
    <w:semiHidden/>
    <w:unhideWhenUsed/>
    <w:rsid w:val="00D56EA7"/>
    <w:rPr>
      <w:sz w:val="16"/>
      <w:szCs w:val="16"/>
    </w:rPr>
  </w:style>
  <w:style w:type="paragraph" w:styleId="CommentText">
    <w:name w:val="annotation text"/>
    <w:basedOn w:val="Normal"/>
    <w:link w:val="CommentTextChar"/>
    <w:uiPriority w:val="99"/>
    <w:unhideWhenUsed/>
    <w:rsid w:val="00D56EA7"/>
    <w:pPr>
      <w:spacing w:after="0" w:line="240" w:lineRule="auto"/>
    </w:pPr>
    <w:rPr>
      <w:rFonts w:ascii="Calibri" w:eastAsiaTheme="minorEastAsia" w:hAnsi="Calibri" w:cs="Calibri"/>
      <w:sz w:val="20"/>
      <w:szCs w:val="20"/>
    </w:rPr>
  </w:style>
  <w:style w:type="character" w:customStyle="1" w:styleId="CommentTextChar">
    <w:name w:val="Comment Text Char"/>
    <w:basedOn w:val="DefaultParagraphFont"/>
    <w:link w:val="CommentText"/>
    <w:uiPriority w:val="99"/>
    <w:rsid w:val="00D56EA7"/>
    <w:rPr>
      <w:rFonts w:ascii="Calibri" w:eastAsiaTheme="minorEastAsia" w:hAnsi="Calibri" w:cs="Calibri"/>
      <w:sz w:val="20"/>
      <w:szCs w:val="20"/>
    </w:rPr>
  </w:style>
  <w:style w:type="character" w:customStyle="1" w:styleId="A4">
    <w:name w:val="A4"/>
    <w:uiPriority w:val="99"/>
    <w:rsid w:val="00D56EA7"/>
    <w:rPr>
      <w:rFonts w:cs="Gotham"/>
      <w:color w:val="000000"/>
    </w:rPr>
  </w:style>
  <w:style w:type="paragraph" w:styleId="BalloonText">
    <w:name w:val="Balloon Text"/>
    <w:basedOn w:val="Normal"/>
    <w:link w:val="BalloonTextChar"/>
    <w:uiPriority w:val="99"/>
    <w:semiHidden/>
    <w:unhideWhenUsed/>
    <w:rsid w:val="00D56E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EA7"/>
    <w:rPr>
      <w:rFonts w:ascii="Segoe UI" w:hAnsi="Segoe UI" w:cs="Segoe UI"/>
      <w:sz w:val="18"/>
      <w:szCs w:val="18"/>
    </w:rPr>
  </w:style>
  <w:style w:type="paragraph" w:styleId="Header">
    <w:name w:val="header"/>
    <w:basedOn w:val="Normal"/>
    <w:link w:val="HeaderChar"/>
    <w:uiPriority w:val="99"/>
    <w:unhideWhenUsed/>
    <w:rsid w:val="008113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399"/>
  </w:style>
  <w:style w:type="paragraph" w:styleId="Footer">
    <w:name w:val="footer"/>
    <w:basedOn w:val="Normal"/>
    <w:link w:val="FooterChar"/>
    <w:uiPriority w:val="99"/>
    <w:unhideWhenUsed/>
    <w:rsid w:val="008113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172138">
      <w:bodyDiv w:val="1"/>
      <w:marLeft w:val="0"/>
      <w:marRight w:val="0"/>
      <w:marTop w:val="0"/>
      <w:marBottom w:val="0"/>
      <w:divBdr>
        <w:top w:val="none" w:sz="0" w:space="0" w:color="auto"/>
        <w:left w:val="none" w:sz="0" w:space="0" w:color="auto"/>
        <w:bottom w:val="none" w:sz="0" w:space="0" w:color="auto"/>
        <w:right w:val="none" w:sz="0" w:space="0" w:color="auto"/>
      </w:divBdr>
    </w:div>
    <w:div w:id="1485321484">
      <w:bodyDiv w:val="1"/>
      <w:marLeft w:val="0"/>
      <w:marRight w:val="0"/>
      <w:marTop w:val="0"/>
      <w:marBottom w:val="0"/>
      <w:divBdr>
        <w:top w:val="none" w:sz="0" w:space="0" w:color="auto"/>
        <w:left w:val="none" w:sz="0" w:space="0" w:color="auto"/>
        <w:bottom w:val="none" w:sz="0" w:space="0" w:color="auto"/>
        <w:right w:val="none" w:sz="0" w:space="0" w:color="auto"/>
      </w:divBdr>
    </w:div>
    <w:div w:id="208811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obalnetwork.org/" TargetMode="External"/><Relationship Id="rId3" Type="http://schemas.openxmlformats.org/officeDocument/2006/relationships/settings" Target="settings.xml"/><Relationship Id="rId7" Type="http://schemas.openxmlformats.org/officeDocument/2006/relationships/hyperlink" Target="mailto:Amber.Cashwell@sabin.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abin.org/"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http://www.who.int/mediacentre/factsheets/fs348/en/" TargetMode="External"/><Relationship Id="rId1" Type="http://schemas.openxmlformats.org/officeDocument/2006/relationships/hyperlink" Target="http://www.ncbi.nlm.nih.gov/pubmed/247047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1080</Words>
  <Characters>6157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Cashwell</dc:creator>
  <cp:keywords/>
  <dc:description/>
  <cp:lastModifiedBy>Amber Cashwell</cp:lastModifiedBy>
  <cp:revision>3</cp:revision>
  <dcterms:created xsi:type="dcterms:W3CDTF">2014-08-18T01:22:00Z</dcterms:created>
  <dcterms:modified xsi:type="dcterms:W3CDTF">2014-08-18T01:24:00Z</dcterms:modified>
</cp:coreProperties>
</file>