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68"/>
        <w:gridCol w:w="2977"/>
        <w:gridCol w:w="5670"/>
        <w:gridCol w:w="2693"/>
      </w:tblGrid>
      <w:tr w:rsidR="007B0CE3" w:rsidRPr="007B0CE3" w:rsidTr="00202A5F">
        <w:trPr>
          <w:trHeight w:val="222"/>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20"/>
                <w:szCs w:val="20"/>
              </w:rPr>
            </w:pPr>
            <w:r w:rsidRPr="007B0CE3">
              <w:rPr>
                <w:rFonts w:ascii="Calibri" w:hAnsi="Calibri" w:cs="Calibri"/>
                <w:sz w:val="24"/>
                <w:szCs w:val="24"/>
              </w:rPr>
              <w:t xml:space="preserve"> </w:t>
            </w:r>
            <w:r w:rsidRPr="007B0CE3">
              <w:rPr>
                <w:rFonts w:ascii="Calibri" w:hAnsi="Calibri" w:cs="Calibri"/>
                <w:b/>
                <w:bCs/>
                <w:sz w:val="20"/>
                <w:szCs w:val="20"/>
              </w:rPr>
              <w:t xml:space="preserve">#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20"/>
                <w:szCs w:val="20"/>
                <w:lang w:val="en-US"/>
              </w:rPr>
            </w:pPr>
            <w:r w:rsidRPr="007B0CE3">
              <w:rPr>
                <w:rFonts w:ascii="Calibri" w:hAnsi="Calibri" w:cs="Calibri"/>
                <w:b/>
                <w:bCs/>
                <w:sz w:val="20"/>
                <w:szCs w:val="20"/>
                <w:lang w:val="en-US"/>
              </w:rPr>
              <w:t xml:space="preserve">Current proposal by Task Force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20"/>
                <w:szCs w:val="20"/>
                <w:lang w:val="en-US"/>
              </w:rPr>
            </w:pPr>
            <w:r w:rsidRPr="007B0CE3">
              <w:rPr>
                <w:rFonts w:ascii="Calibri" w:hAnsi="Calibri" w:cs="Calibri"/>
                <w:b/>
                <w:bCs/>
                <w:sz w:val="20"/>
                <w:szCs w:val="20"/>
                <w:lang w:val="en-US"/>
              </w:rPr>
              <w:t xml:space="preserve">Initial proposal by OLI meeting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20"/>
                <w:szCs w:val="20"/>
              </w:rPr>
            </w:pPr>
            <w:r w:rsidRPr="007B0CE3">
              <w:rPr>
                <w:rFonts w:ascii="Calibri" w:hAnsi="Calibri" w:cs="Calibri"/>
                <w:b/>
                <w:bCs/>
                <w:sz w:val="20"/>
                <w:szCs w:val="20"/>
              </w:rPr>
              <w:t xml:space="preserve">Comments </w:t>
            </w:r>
            <w:proofErr w:type="spellStart"/>
            <w:r w:rsidRPr="007B0CE3">
              <w:rPr>
                <w:rFonts w:ascii="Calibri" w:hAnsi="Calibri" w:cs="Calibri"/>
                <w:b/>
                <w:bCs/>
                <w:sz w:val="20"/>
                <w:szCs w:val="20"/>
              </w:rPr>
              <w:t>from</w:t>
            </w:r>
            <w:proofErr w:type="spellEnd"/>
            <w:r w:rsidRPr="007B0CE3">
              <w:rPr>
                <w:rFonts w:ascii="Calibri" w:hAnsi="Calibri" w:cs="Calibri"/>
                <w:b/>
                <w:bCs/>
                <w:sz w:val="20"/>
                <w:szCs w:val="20"/>
              </w:rPr>
              <w:t xml:space="preserve"> TF </w:t>
            </w:r>
            <w:proofErr w:type="spellStart"/>
            <w:r w:rsidRPr="007B0CE3">
              <w:rPr>
                <w:rFonts w:ascii="Calibri" w:hAnsi="Calibri" w:cs="Calibri"/>
                <w:b/>
                <w:bCs/>
                <w:sz w:val="20"/>
                <w:szCs w:val="20"/>
              </w:rPr>
              <w:t>meeting</w:t>
            </w:r>
            <w:proofErr w:type="spellEnd"/>
            <w:r w:rsidRPr="007B0CE3">
              <w:rPr>
                <w:rFonts w:ascii="Calibri" w:hAnsi="Calibri" w:cs="Calibri"/>
                <w:b/>
                <w:bCs/>
                <w:sz w:val="20"/>
                <w:szCs w:val="20"/>
              </w:rPr>
              <w:t xml:space="preserve"> </w:t>
            </w:r>
          </w:p>
        </w:tc>
        <w:tc>
          <w:tcPr>
            <w:tcW w:w="2693" w:type="dxa"/>
          </w:tcPr>
          <w:p w:rsidR="002508AB" w:rsidRPr="007B0CE3" w:rsidRDefault="002508AB" w:rsidP="002508AB">
            <w:pPr>
              <w:autoSpaceDE w:val="0"/>
              <w:autoSpaceDN w:val="0"/>
              <w:adjustRightInd w:val="0"/>
              <w:spacing w:after="0" w:line="240" w:lineRule="auto"/>
              <w:rPr>
                <w:rFonts w:ascii="Calibri" w:hAnsi="Calibri" w:cs="Calibri"/>
                <w:b/>
                <w:bCs/>
                <w:sz w:val="20"/>
                <w:szCs w:val="20"/>
              </w:rPr>
            </w:pPr>
            <w:r w:rsidRPr="007B0CE3">
              <w:rPr>
                <w:rFonts w:ascii="Calibri" w:hAnsi="Calibri" w:cs="Calibri"/>
                <w:b/>
                <w:bCs/>
                <w:sz w:val="20"/>
                <w:szCs w:val="20"/>
              </w:rPr>
              <w:t xml:space="preserve">Comments GIZ </w:t>
            </w:r>
          </w:p>
        </w:tc>
      </w:tr>
      <w:tr w:rsidR="007B0CE3" w:rsidRPr="007B0CE3" w:rsidTr="00202A5F">
        <w:trPr>
          <w:trHeight w:val="373"/>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1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Forest area as proportion of total land area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Forest area net change rate (%/per year)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Modified </w:t>
            </w:r>
            <w:r w:rsidRPr="007B0CE3">
              <w:rPr>
                <w:rFonts w:ascii="Calibri" w:hAnsi="Calibri" w:cs="Calibri"/>
                <w:sz w:val="16"/>
                <w:szCs w:val="16"/>
                <w:lang w:val="en-US"/>
              </w:rPr>
              <w:t xml:space="preserve">from "Forest area net change rate (%/year) as the net change rate can be computed using forest area as proportion of land area (land area reference year 2015). The proposed indicator name corresponds to the SDG 15.1 wording. No factual change. </w:t>
            </w:r>
          </w:p>
        </w:tc>
        <w:tc>
          <w:tcPr>
            <w:tcW w:w="2693" w:type="dxa"/>
          </w:tcPr>
          <w:p w:rsidR="009347E6" w:rsidRPr="007B0CE3" w:rsidRDefault="009347E6"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w:t>
            </w:r>
          </w:p>
        </w:tc>
      </w:tr>
      <w:tr w:rsidR="007B0CE3" w:rsidRPr="007B0CE3" w:rsidTr="00202A5F">
        <w:trPr>
          <w:trHeight w:val="667"/>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2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Forest area within protected areas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Proportion of forest area located within legally established protected areas (%)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Modified. </w:t>
            </w:r>
            <w:r w:rsidRPr="007B0CE3">
              <w:rPr>
                <w:rFonts w:ascii="Calibri" w:hAnsi="Calibri" w:cs="Calibri"/>
                <w:sz w:val="16"/>
                <w:szCs w:val="16"/>
                <w:lang w:val="en-US"/>
              </w:rPr>
              <w:t xml:space="preserve">The term "legally established" dropped to avoid confusion and the indicator changed from proportion to total area. The protected areas should follow the definition of IUCN/CBD. If possible, the reporting should be broken down by IUCN categories. The proportion of forest area located within protected areas can be calculated. Efforts </w:t>
            </w:r>
            <w:proofErr w:type="gramStart"/>
            <w:r w:rsidRPr="007B0CE3">
              <w:rPr>
                <w:rFonts w:ascii="Calibri" w:hAnsi="Calibri" w:cs="Calibri"/>
                <w:sz w:val="16"/>
                <w:szCs w:val="16"/>
                <w:lang w:val="en-US"/>
              </w:rPr>
              <w:t>be</w:t>
            </w:r>
            <w:proofErr w:type="gramEnd"/>
            <w:r w:rsidRPr="007B0CE3">
              <w:rPr>
                <w:rFonts w:ascii="Calibri" w:hAnsi="Calibri" w:cs="Calibri"/>
                <w:sz w:val="16"/>
                <w:szCs w:val="16"/>
                <w:lang w:val="en-US"/>
              </w:rPr>
              <w:t xml:space="preserve"> made to maintain consistency with SDG indicator terminology. </w:t>
            </w:r>
          </w:p>
        </w:tc>
        <w:tc>
          <w:tcPr>
            <w:tcW w:w="2693" w:type="dxa"/>
          </w:tcPr>
          <w:p w:rsidR="009347E6" w:rsidRPr="007B0CE3" w:rsidRDefault="009347E6"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w:t>
            </w:r>
          </w:p>
        </w:tc>
      </w:tr>
      <w:tr w:rsidR="007B0CE3" w:rsidRPr="007B0CE3" w:rsidTr="00202A5F">
        <w:trPr>
          <w:trHeight w:val="373"/>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3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Above-ground biomass stock in forest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Above-ground biomass stock in forest (</w:t>
            </w:r>
            <w:proofErr w:type="spellStart"/>
            <w:r w:rsidRPr="007B0CE3">
              <w:rPr>
                <w:rFonts w:ascii="Calibri" w:hAnsi="Calibri" w:cs="Calibri"/>
                <w:b/>
                <w:bCs/>
                <w:sz w:val="16"/>
                <w:szCs w:val="16"/>
                <w:lang w:val="en-US"/>
              </w:rPr>
              <w:t>tonnes</w:t>
            </w:r>
            <w:proofErr w:type="spellEnd"/>
            <w:r w:rsidRPr="007B0CE3">
              <w:rPr>
                <w:rFonts w:ascii="Calibri" w:hAnsi="Calibri" w:cs="Calibri"/>
                <w:b/>
                <w:bCs/>
                <w:sz w:val="16"/>
                <w:szCs w:val="16"/>
                <w:lang w:val="en-US"/>
              </w:rPr>
              <w:t xml:space="preserve">/ha)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Modified</w:t>
            </w:r>
            <w:r w:rsidRPr="007B0CE3">
              <w:rPr>
                <w:rFonts w:ascii="Calibri" w:hAnsi="Calibri" w:cs="Calibri"/>
                <w:sz w:val="16"/>
                <w:szCs w:val="16"/>
                <w:lang w:val="en-US"/>
              </w:rPr>
              <w:t xml:space="preserve">. Suggest reporting in </w:t>
            </w:r>
            <w:proofErr w:type="spellStart"/>
            <w:r w:rsidRPr="007B0CE3">
              <w:rPr>
                <w:rFonts w:ascii="Calibri" w:hAnsi="Calibri" w:cs="Calibri"/>
                <w:sz w:val="16"/>
                <w:szCs w:val="16"/>
                <w:lang w:val="en-US"/>
              </w:rPr>
              <w:t>tonnes</w:t>
            </w:r>
            <w:proofErr w:type="spellEnd"/>
            <w:r w:rsidRPr="007B0CE3">
              <w:rPr>
                <w:rFonts w:ascii="Calibri" w:hAnsi="Calibri" w:cs="Calibri"/>
                <w:sz w:val="16"/>
                <w:szCs w:val="16"/>
                <w:lang w:val="en-US"/>
              </w:rPr>
              <w:t xml:space="preserve"> instead of </w:t>
            </w:r>
            <w:proofErr w:type="spellStart"/>
            <w:r w:rsidRPr="007B0CE3">
              <w:rPr>
                <w:rFonts w:ascii="Calibri" w:hAnsi="Calibri" w:cs="Calibri"/>
                <w:sz w:val="16"/>
                <w:szCs w:val="16"/>
                <w:lang w:val="en-US"/>
              </w:rPr>
              <w:t>tonnes</w:t>
            </w:r>
            <w:proofErr w:type="spellEnd"/>
            <w:r w:rsidRPr="007B0CE3">
              <w:rPr>
                <w:rFonts w:ascii="Calibri" w:hAnsi="Calibri" w:cs="Calibri"/>
                <w:sz w:val="16"/>
                <w:szCs w:val="16"/>
                <w:lang w:val="en-US"/>
              </w:rPr>
              <w:t xml:space="preserve">/ha as the latter can be derived. Overharvesting/degradation/damage will result in reduced biomass/ha. In some cases increased biomass/ha may be negative (increased fuel load for fires) </w:t>
            </w:r>
          </w:p>
        </w:tc>
        <w:tc>
          <w:tcPr>
            <w:tcW w:w="2693" w:type="dxa"/>
          </w:tcPr>
          <w:p w:rsidR="002508AB" w:rsidRPr="007B0CE3" w:rsidRDefault="009347E6" w:rsidP="002508AB">
            <w:pPr>
              <w:autoSpaceDE w:val="0"/>
              <w:autoSpaceDN w:val="0"/>
              <w:adjustRightInd w:val="0"/>
              <w:spacing w:after="0" w:line="240" w:lineRule="auto"/>
              <w:rPr>
                <w:rFonts w:ascii="Calibri" w:hAnsi="Calibri" w:cs="Calibri"/>
                <w:b/>
                <w:bCs/>
                <w:sz w:val="16"/>
                <w:szCs w:val="16"/>
                <w:lang w:val="en-US"/>
              </w:rPr>
            </w:pPr>
            <w:proofErr w:type="gramStart"/>
            <w:r w:rsidRPr="007B0CE3">
              <w:rPr>
                <w:rFonts w:ascii="Calibri" w:hAnsi="Calibri" w:cs="Calibri"/>
                <w:b/>
                <w:bCs/>
                <w:sz w:val="16"/>
                <w:szCs w:val="16"/>
                <w:lang w:val="en-US"/>
              </w:rPr>
              <w:t>preference</w:t>
            </w:r>
            <w:proofErr w:type="gramEnd"/>
            <w:r w:rsidRPr="007B0CE3">
              <w:rPr>
                <w:rFonts w:ascii="Calibri" w:hAnsi="Calibri" w:cs="Calibri"/>
                <w:b/>
                <w:bCs/>
                <w:sz w:val="16"/>
                <w:szCs w:val="16"/>
                <w:lang w:val="en-US"/>
              </w:rPr>
              <w:t xml:space="preserve"> for </w:t>
            </w:r>
            <w:proofErr w:type="spellStart"/>
            <w:r w:rsidRPr="007B0CE3">
              <w:rPr>
                <w:rFonts w:ascii="Calibri" w:hAnsi="Calibri" w:cs="Calibri"/>
                <w:b/>
                <w:bCs/>
                <w:sz w:val="16"/>
                <w:szCs w:val="16"/>
                <w:lang w:val="en-US"/>
              </w:rPr>
              <w:t>tonnes</w:t>
            </w:r>
            <w:proofErr w:type="spellEnd"/>
            <w:r w:rsidRPr="007B0CE3">
              <w:rPr>
                <w:rFonts w:ascii="Calibri" w:hAnsi="Calibri" w:cs="Calibri"/>
                <w:b/>
                <w:bCs/>
                <w:sz w:val="16"/>
                <w:szCs w:val="16"/>
                <w:lang w:val="en-US"/>
              </w:rPr>
              <w:t xml:space="preserve">/ha as this will be what is measured in pilot sites. </w:t>
            </w:r>
            <w:proofErr w:type="spellStart"/>
            <w:r w:rsidRPr="007B0CE3">
              <w:rPr>
                <w:rFonts w:ascii="Calibri" w:hAnsi="Calibri" w:cs="Calibri"/>
                <w:b/>
                <w:bCs/>
                <w:sz w:val="16"/>
                <w:szCs w:val="16"/>
                <w:lang w:val="en-US"/>
              </w:rPr>
              <w:t>Tonnes</w:t>
            </w:r>
            <w:proofErr w:type="spellEnd"/>
            <w:r w:rsidRPr="007B0CE3">
              <w:rPr>
                <w:rFonts w:ascii="Calibri" w:hAnsi="Calibri" w:cs="Calibri"/>
                <w:b/>
                <w:bCs/>
                <w:sz w:val="16"/>
                <w:szCs w:val="16"/>
                <w:lang w:val="en-US"/>
              </w:rPr>
              <w:t xml:space="preserve"> in general without a reference to a surface seems difficult</w:t>
            </w:r>
          </w:p>
        </w:tc>
      </w:tr>
      <w:tr w:rsidR="007B0CE3" w:rsidRPr="007B0CE3" w:rsidTr="00202A5F">
        <w:trPr>
          <w:trHeight w:val="764"/>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4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Forest area designated and managed for protection of soil and water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(a) Mountain Green Cover Index </w:t>
            </w:r>
          </w:p>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Or </w:t>
            </w:r>
          </w:p>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(b) Forest area designated and managed for protection of soil and water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Changed to green</w:t>
            </w:r>
            <w:r w:rsidRPr="007B0CE3">
              <w:rPr>
                <w:rFonts w:ascii="Calibri" w:hAnsi="Calibri" w:cs="Calibri"/>
                <w:sz w:val="16"/>
                <w:szCs w:val="16"/>
                <w:lang w:val="en-US"/>
              </w:rPr>
              <w:t xml:space="preserve">. Option (b) preferred as already reported to FRA. However, it can be difficult to identify forests “designated and managed” for protection as they often are part of areas managed for multiple purposes. </w:t>
            </w:r>
          </w:p>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sz w:val="16"/>
                <w:szCs w:val="16"/>
                <w:lang w:val="en-US"/>
              </w:rPr>
              <w:t xml:space="preserve">Option (a) Mountain Green Cover Index is currently a Tier 2 SDG indicator. Development work in progress. Not ready to be included in the core set but progress needs to be assessed and inclusion to be considered in the future </w:t>
            </w:r>
          </w:p>
        </w:tc>
        <w:tc>
          <w:tcPr>
            <w:tcW w:w="2693" w:type="dxa"/>
          </w:tcPr>
          <w:p w:rsidR="002508AB" w:rsidRPr="007B0CE3" w:rsidRDefault="009347E6"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w:t>
            </w:r>
          </w:p>
        </w:tc>
      </w:tr>
      <w:tr w:rsidR="007B0CE3" w:rsidRPr="007B0CE3" w:rsidTr="00202A5F">
        <w:trPr>
          <w:trHeight w:val="373"/>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5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Employment in forestry and logging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Number of forest related jobs per 1000 ha of forest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lang w:val="en-US"/>
              </w:rPr>
              <w:t>Modified and changed to green</w:t>
            </w:r>
            <w:r w:rsidRPr="007B0CE3">
              <w:rPr>
                <w:rFonts w:ascii="Calibri" w:hAnsi="Calibri" w:cs="Calibri"/>
                <w:sz w:val="16"/>
                <w:szCs w:val="16"/>
                <w:lang w:val="en-US"/>
              </w:rPr>
              <w:t xml:space="preserve">. Change proposed from "Number of forest related jobs per 1000 ha of forest" to employment in forestry and logging. </w:t>
            </w:r>
            <w:proofErr w:type="spellStart"/>
            <w:r w:rsidRPr="007B0CE3">
              <w:rPr>
                <w:rFonts w:ascii="Calibri" w:hAnsi="Calibri" w:cs="Calibri"/>
                <w:sz w:val="16"/>
                <w:szCs w:val="16"/>
              </w:rPr>
              <w:t>Employment</w:t>
            </w:r>
            <w:proofErr w:type="spellEnd"/>
            <w:r w:rsidRPr="007B0CE3">
              <w:rPr>
                <w:rFonts w:ascii="Calibri" w:hAnsi="Calibri" w:cs="Calibri"/>
                <w:sz w:val="16"/>
                <w:szCs w:val="16"/>
              </w:rPr>
              <w:t xml:space="preserve"> per 1000 ha </w:t>
            </w:r>
            <w:proofErr w:type="spellStart"/>
            <w:r w:rsidRPr="007B0CE3">
              <w:rPr>
                <w:rFonts w:ascii="Calibri" w:hAnsi="Calibri" w:cs="Calibri"/>
                <w:sz w:val="16"/>
                <w:szCs w:val="16"/>
              </w:rPr>
              <w:t>of</w:t>
            </w:r>
            <w:proofErr w:type="spellEnd"/>
            <w:r w:rsidRPr="007B0CE3">
              <w:rPr>
                <w:rFonts w:ascii="Calibri" w:hAnsi="Calibri" w:cs="Calibri"/>
                <w:sz w:val="16"/>
                <w:szCs w:val="16"/>
              </w:rPr>
              <w:t xml:space="preserve"> </w:t>
            </w:r>
            <w:proofErr w:type="spellStart"/>
            <w:r w:rsidRPr="007B0CE3">
              <w:rPr>
                <w:rFonts w:ascii="Calibri" w:hAnsi="Calibri" w:cs="Calibri"/>
                <w:sz w:val="16"/>
                <w:szCs w:val="16"/>
              </w:rPr>
              <w:t>forests</w:t>
            </w:r>
            <w:proofErr w:type="spellEnd"/>
            <w:r w:rsidRPr="007B0CE3">
              <w:rPr>
                <w:rFonts w:ascii="Calibri" w:hAnsi="Calibri" w:cs="Calibri"/>
                <w:sz w:val="16"/>
                <w:szCs w:val="16"/>
              </w:rPr>
              <w:t xml:space="preserve"> </w:t>
            </w:r>
            <w:proofErr w:type="spellStart"/>
            <w:r w:rsidRPr="007B0CE3">
              <w:rPr>
                <w:rFonts w:ascii="Calibri" w:hAnsi="Calibri" w:cs="Calibri"/>
                <w:sz w:val="16"/>
                <w:szCs w:val="16"/>
              </w:rPr>
              <w:t>can</w:t>
            </w:r>
            <w:proofErr w:type="spellEnd"/>
            <w:r w:rsidRPr="007B0CE3">
              <w:rPr>
                <w:rFonts w:ascii="Calibri" w:hAnsi="Calibri" w:cs="Calibri"/>
                <w:sz w:val="16"/>
                <w:szCs w:val="16"/>
              </w:rPr>
              <w:t xml:space="preserve"> </w:t>
            </w:r>
            <w:proofErr w:type="spellStart"/>
            <w:r w:rsidRPr="007B0CE3">
              <w:rPr>
                <w:rFonts w:ascii="Calibri" w:hAnsi="Calibri" w:cs="Calibri"/>
                <w:sz w:val="16"/>
                <w:szCs w:val="16"/>
              </w:rPr>
              <w:t>then</w:t>
            </w:r>
            <w:proofErr w:type="spellEnd"/>
            <w:r w:rsidRPr="007B0CE3">
              <w:rPr>
                <w:rFonts w:ascii="Calibri" w:hAnsi="Calibri" w:cs="Calibri"/>
                <w:sz w:val="16"/>
                <w:szCs w:val="16"/>
              </w:rPr>
              <w:t xml:space="preserve"> </w:t>
            </w:r>
            <w:proofErr w:type="spellStart"/>
            <w:r w:rsidRPr="007B0CE3">
              <w:rPr>
                <w:rFonts w:ascii="Calibri" w:hAnsi="Calibri" w:cs="Calibri"/>
                <w:sz w:val="16"/>
                <w:szCs w:val="16"/>
              </w:rPr>
              <w:t>be</w:t>
            </w:r>
            <w:proofErr w:type="spellEnd"/>
            <w:r w:rsidRPr="007B0CE3">
              <w:rPr>
                <w:rFonts w:ascii="Calibri" w:hAnsi="Calibri" w:cs="Calibri"/>
                <w:sz w:val="16"/>
                <w:szCs w:val="16"/>
              </w:rPr>
              <w:t xml:space="preserve"> </w:t>
            </w:r>
            <w:proofErr w:type="spellStart"/>
            <w:r w:rsidRPr="007B0CE3">
              <w:rPr>
                <w:rFonts w:ascii="Calibri" w:hAnsi="Calibri" w:cs="Calibri"/>
                <w:sz w:val="16"/>
                <w:szCs w:val="16"/>
              </w:rPr>
              <w:t>derived</w:t>
            </w:r>
            <w:proofErr w:type="spellEnd"/>
            <w:r w:rsidRPr="007B0CE3">
              <w:rPr>
                <w:rFonts w:ascii="Calibri" w:hAnsi="Calibri" w:cs="Calibri"/>
                <w:sz w:val="16"/>
                <w:szCs w:val="16"/>
              </w:rPr>
              <w:t xml:space="preserve">). </w:t>
            </w:r>
          </w:p>
        </w:tc>
        <w:tc>
          <w:tcPr>
            <w:tcW w:w="2693" w:type="dxa"/>
          </w:tcPr>
          <w:p w:rsidR="009347E6" w:rsidRPr="007B0CE3" w:rsidRDefault="009347E6" w:rsidP="002508AB">
            <w:pPr>
              <w:autoSpaceDE w:val="0"/>
              <w:autoSpaceDN w:val="0"/>
              <w:adjustRightInd w:val="0"/>
              <w:spacing w:after="0" w:line="240" w:lineRule="auto"/>
              <w:rPr>
                <w:rFonts w:ascii="Calibri" w:hAnsi="Calibri" w:cs="Calibri"/>
                <w:bCs/>
                <w:sz w:val="16"/>
                <w:szCs w:val="16"/>
                <w:lang w:val="en-US"/>
              </w:rPr>
            </w:pPr>
            <w:r w:rsidRPr="007B0CE3">
              <w:rPr>
                <w:rFonts w:ascii="Calibri" w:hAnsi="Calibri" w:cs="Calibri"/>
                <w:b/>
                <w:bCs/>
                <w:sz w:val="16"/>
                <w:szCs w:val="16"/>
                <w:lang w:val="en-US"/>
              </w:rPr>
              <w:t>ok</w:t>
            </w:r>
          </w:p>
        </w:tc>
      </w:tr>
      <w:tr w:rsidR="007B0CE3" w:rsidRPr="007B0CE3" w:rsidTr="00202A5F">
        <w:trPr>
          <w:trHeight w:val="572"/>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6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Existence of policies supporting SFM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Existence of policies supporting SFM, including formal protection of existing forest, or definition of a permanent forest estate in countries where this is necessary, with the institutions and resources necessary to implement these policies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Modified</w:t>
            </w:r>
            <w:r w:rsidRPr="007B0CE3">
              <w:rPr>
                <w:rFonts w:ascii="Calibri" w:hAnsi="Calibri" w:cs="Calibri"/>
                <w:sz w:val="16"/>
                <w:szCs w:val="16"/>
                <w:lang w:val="en-US"/>
              </w:rPr>
              <w:t xml:space="preserve">. </w:t>
            </w:r>
            <w:r w:rsidRPr="007B0CE3">
              <w:rPr>
                <w:rFonts w:ascii="Calibri" w:hAnsi="Calibri" w:cs="Calibri"/>
                <w:i/>
                <w:iCs/>
                <w:sz w:val="16"/>
                <w:szCs w:val="16"/>
                <w:lang w:val="en-US"/>
              </w:rPr>
              <w:t>"…including formal protection of existing forest, or definition of a permanent forest estate in countries where this is necessary, with the institutions and resources necessary to implement these policies</w:t>
            </w:r>
            <w:r w:rsidRPr="007B0CE3">
              <w:rPr>
                <w:rFonts w:ascii="Calibri" w:hAnsi="Calibri" w:cs="Calibri"/>
                <w:sz w:val="16"/>
                <w:szCs w:val="16"/>
                <w:lang w:val="en-US"/>
              </w:rPr>
              <w:t xml:space="preserve">" was deleted from the indicator name as those are only examples of such policies. They can be added to the explanatory note. Concept already used in FRA 2015. </w:t>
            </w:r>
          </w:p>
        </w:tc>
        <w:tc>
          <w:tcPr>
            <w:tcW w:w="2693" w:type="dxa"/>
          </w:tcPr>
          <w:p w:rsidR="009347E6" w:rsidRPr="007B0CE3" w:rsidRDefault="009347E6"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w:t>
            </w:r>
          </w:p>
        </w:tc>
      </w:tr>
      <w:tr w:rsidR="007B0CE3" w:rsidRPr="007B0CE3" w:rsidTr="00202A5F">
        <w:trPr>
          <w:trHeight w:val="471"/>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7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Existence of scientifically sound national forest assessment process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Existence of a recent, scientifically sound, national forest inventory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Modified. </w:t>
            </w:r>
            <w:r w:rsidRPr="007B0CE3">
              <w:rPr>
                <w:rFonts w:ascii="Calibri" w:hAnsi="Calibri" w:cs="Calibri"/>
                <w:sz w:val="16"/>
                <w:szCs w:val="16"/>
                <w:lang w:val="en-US"/>
              </w:rPr>
              <w:t>Deleted the word ‘</w:t>
            </w:r>
            <w:r w:rsidRPr="007B0CE3">
              <w:rPr>
                <w:rFonts w:ascii="Calibri" w:hAnsi="Calibri" w:cs="Calibri"/>
                <w:i/>
                <w:iCs/>
                <w:sz w:val="16"/>
                <w:szCs w:val="16"/>
                <w:lang w:val="en-US"/>
              </w:rPr>
              <w:t>recent</w:t>
            </w:r>
            <w:r w:rsidRPr="007B0CE3">
              <w:rPr>
                <w:rFonts w:ascii="Calibri" w:hAnsi="Calibri" w:cs="Calibri"/>
                <w:sz w:val="16"/>
                <w:szCs w:val="16"/>
                <w:lang w:val="en-US"/>
              </w:rPr>
              <w:t>’ and added the word ‘</w:t>
            </w:r>
            <w:proofErr w:type="gramStart"/>
            <w:r w:rsidRPr="007B0CE3">
              <w:rPr>
                <w:rFonts w:ascii="Calibri" w:hAnsi="Calibri" w:cs="Calibri"/>
                <w:i/>
                <w:iCs/>
                <w:sz w:val="16"/>
                <w:szCs w:val="16"/>
                <w:lang w:val="en-US"/>
              </w:rPr>
              <w:t>process’</w:t>
            </w:r>
            <w:proofErr w:type="gramEnd"/>
            <w:r w:rsidRPr="007B0CE3">
              <w:rPr>
                <w:rFonts w:ascii="Calibri" w:hAnsi="Calibri" w:cs="Calibri"/>
                <w:i/>
                <w:iCs/>
                <w:sz w:val="16"/>
                <w:szCs w:val="16"/>
                <w:lang w:val="en-US"/>
              </w:rPr>
              <w:t xml:space="preserve"> </w:t>
            </w:r>
            <w:r w:rsidRPr="007B0CE3">
              <w:rPr>
                <w:rFonts w:ascii="Calibri" w:hAnsi="Calibri" w:cs="Calibri"/>
                <w:sz w:val="16"/>
                <w:szCs w:val="16"/>
                <w:lang w:val="en-US"/>
              </w:rPr>
              <w:t xml:space="preserve">in the original indicator to reflect the need for continuous information flow. Suggest adding "includes NFI and related information and monitoring systems" in the explanatory note. </w:t>
            </w:r>
          </w:p>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sz w:val="16"/>
                <w:szCs w:val="16"/>
                <w:lang w:val="en-US"/>
              </w:rPr>
              <w:t xml:space="preserve">Concept already used in FRA 2015 </w:t>
            </w:r>
          </w:p>
        </w:tc>
        <w:tc>
          <w:tcPr>
            <w:tcW w:w="2693" w:type="dxa"/>
          </w:tcPr>
          <w:p w:rsidR="009347E6" w:rsidRPr="007B0CE3" w:rsidRDefault="009347E6" w:rsidP="009347E6">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 also ok with the suggested addition, would be good to also have the date of the most recent assessment/inventory</w:t>
            </w:r>
          </w:p>
        </w:tc>
      </w:tr>
      <w:tr w:rsidR="007B0CE3" w:rsidRPr="007B0CE3" w:rsidTr="00202A5F">
        <w:trPr>
          <w:trHeight w:val="572"/>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8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Existence of a national mechanism to secure multi-stakeholder participation in the development and implementation of forest-related policies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Existence of a national multi-stakeholder policy platform, with active participation of civil society, indigenous peoples and the private sector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Modified </w:t>
            </w:r>
            <w:r w:rsidRPr="007B0CE3">
              <w:rPr>
                <w:rFonts w:ascii="Calibri" w:hAnsi="Calibri" w:cs="Calibri"/>
                <w:sz w:val="16"/>
                <w:szCs w:val="16"/>
                <w:lang w:val="en-US"/>
              </w:rPr>
              <w:t xml:space="preserve">the original wording to avoid ambiguity. Concept already used in FRA 2015 </w:t>
            </w:r>
          </w:p>
        </w:tc>
        <w:tc>
          <w:tcPr>
            <w:tcW w:w="2693" w:type="dxa"/>
          </w:tcPr>
          <w:p w:rsidR="0029289D" w:rsidRPr="007B0CE3" w:rsidRDefault="007C6887"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Existence of a national mechanism to secure effective multi-stakeholder participation in the development and implementation of forest-related policies</w:t>
            </w:r>
          </w:p>
        </w:tc>
      </w:tr>
      <w:tr w:rsidR="007B0CE3" w:rsidRPr="007B0CE3" w:rsidTr="00202A5F">
        <w:trPr>
          <w:trHeight w:val="182"/>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9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Forest area under a long-term forest management plan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Proportion of forest area under a long-term forest management plan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lang w:val="en-US"/>
              </w:rPr>
              <w:t xml:space="preserve">Modified </w:t>
            </w:r>
            <w:r w:rsidRPr="007B0CE3">
              <w:rPr>
                <w:rFonts w:ascii="Calibri" w:hAnsi="Calibri" w:cs="Calibri"/>
                <w:sz w:val="16"/>
                <w:szCs w:val="16"/>
                <w:lang w:val="en-US"/>
              </w:rPr>
              <w:t>from "</w:t>
            </w:r>
            <w:r w:rsidRPr="007B0CE3">
              <w:rPr>
                <w:rFonts w:ascii="Calibri" w:hAnsi="Calibri" w:cs="Calibri"/>
                <w:i/>
                <w:iCs/>
                <w:sz w:val="16"/>
                <w:szCs w:val="16"/>
                <w:lang w:val="en-US"/>
              </w:rPr>
              <w:t>proportion of forest area</w:t>
            </w:r>
            <w:r w:rsidRPr="007B0CE3">
              <w:rPr>
                <w:rFonts w:ascii="Calibri" w:hAnsi="Calibri" w:cs="Calibri"/>
                <w:sz w:val="16"/>
                <w:szCs w:val="16"/>
                <w:lang w:val="en-US"/>
              </w:rPr>
              <w:t>" to "</w:t>
            </w:r>
            <w:r w:rsidRPr="007B0CE3">
              <w:rPr>
                <w:rFonts w:ascii="Calibri" w:hAnsi="Calibri" w:cs="Calibri"/>
                <w:i/>
                <w:iCs/>
                <w:sz w:val="16"/>
                <w:szCs w:val="16"/>
                <w:lang w:val="en-US"/>
              </w:rPr>
              <w:t>Forest area</w:t>
            </w:r>
            <w:r w:rsidRPr="007B0CE3">
              <w:rPr>
                <w:rFonts w:ascii="Calibri" w:hAnsi="Calibri" w:cs="Calibri"/>
                <w:sz w:val="16"/>
                <w:szCs w:val="16"/>
                <w:lang w:val="en-US"/>
              </w:rPr>
              <w:t xml:space="preserve">” in order to align with SDG 15.2.1. </w:t>
            </w:r>
            <w:proofErr w:type="spellStart"/>
            <w:r w:rsidRPr="007B0CE3">
              <w:rPr>
                <w:rFonts w:ascii="Calibri" w:hAnsi="Calibri" w:cs="Calibri"/>
                <w:sz w:val="16"/>
                <w:szCs w:val="16"/>
              </w:rPr>
              <w:t>Concept</w:t>
            </w:r>
            <w:proofErr w:type="spellEnd"/>
            <w:r w:rsidRPr="007B0CE3">
              <w:rPr>
                <w:rFonts w:ascii="Calibri" w:hAnsi="Calibri" w:cs="Calibri"/>
                <w:sz w:val="16"/>
                <w:szCs w:val="16"/>
              </w:rPr>
              <w:t xml:space="preserve"> </w:t>
            </w:r>
            <w:proofErr w:type="spellStart"/>
            <w:r w:rsidRPr="007B0CE3">
              <w:rPr>
                <w:rFonts w:ascii="Calibri" w:hAnsi="Calibri" w:cs="Calibri"/>
                <w:sz w:val="16"/>
                <w:szCs w:val="16"/>
              </w:rPr>
              <w:t>already</w:t>
            </w:r>
            <w:proofErr w:type="spellEnd"/>
            <w:r w:rsidRPr="007B0CE3">
              <w:rPr>
                <w:rFonts w:ascii="Calibri" w:hAnsi="Calibri" w:cs="Calibri"/>
                <w:sz w:val="16"/>
                <w:szCs w:val="16"/>
              </w:rPr>
              <w:t xml:space="preserve"> </w:t>
            </w:r>
            <w:proofErr w:type="spellStart"/>
            <w:r w:rsidRPr="007B0CE3">
              <w:rPr>
                <w:rFonts w:ascii="Calibri" w:hAnsi="Calibri" w:cs="Calibri"/>
                <w:sz w:val="16"/>
                <w:szCs w:val="16"/>
              </w:rPr>
              <w:t>used</w:t>
            </w:r>
            <w:proofErr w:type="spellEnd"/>
            <w:r w:rsidRPr="007B0CE3">
              <w:rPr>
                <w:rFonts w:ascii="Calibri" w:hAnsi="Calibri" w:cs="Calibri"/>
                <w:sz w:val="16"/>
                <w:szCs w:val="16"/>
              </w:rPr>
              <w:t xml:space="preserve"> in FRA 2015 </w:t>
            </w:r>
          </w:p>
        </w:tc>
        <w:tc>
          <w:tcPr>
            <w:tcW w:w="2693" w:type="dxa"/>
          </w:tcPr>
          <w:p w:rsidR="0029289D" w:rsidRPr="007B0CE3" w:rsidRDefault="0029289D"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w:t>
            </w:r>
          </w:p>
        </w:tc>
      </w:tr>
      <w:tr w:rsidR="007B0CE3" w:rsidRPr="007B0CE3" w:rsidTr="00202A5F">
        <w:trPr>
          <w:trHeight w:val="764"/>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lastRenderedPageBreak/>
              <w:t xml:space="preserve">10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Forest area under an independently verified forest management certification scheme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Forest area under an independently verified forest management certification scheme (ha)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Changed to green</w:t>
            </w:r>
            <w:r w:rsidRPr="007B0CE3">
              <w:rPr>
                <w:rFonts w:ascii="Calibri" w:hAnsi="Calibri" w:cs="Calibri"/>
                <w:sz w:val="16"/>
                <w:szCs w:val="16"/>
                <w:lang w:val="en-US"/>
              </w:rPr>
              <w:t xml:space="preserve">. Explanatory note should refer to different types of certification schemes. The TF discussed the problem of double accounting but did not find a solution to that because countries seem not to have that information. Deleted "ha". Concept already used in FRA </w:t>
            </w:r>
            <w:proofErr w:type="gramStart"/>
            <w:r w:rsidRPr="007B0CE3">
              <w:rPr>
                <w:rFonts w:ascii="Calibri" w:hAnsi="Calibri" w:cs="Calibri"/>
                <w:sz w:val="16"/>
                <w:szCs w:val="16"/>
                <w:lang w:val="en-US"/>
              </w:rPr>
              <w:t>2015 .</w:t>
            </w:r>
            <w:proofErr w:type="gramEnd"/>
            <w:r w:rsidRPr="007B0CE3">
              <w:rPr>
                <w:rFonts w:ascii="Calibri" w:hAnsi="Calibri" w:cs="Calibri"/>
                <w:sz w:val="16"/>
                <w:szCs w:val="16"/>
                <w:lang w:val="en-US"/>
              </w:rPr>
              <w:t xml:space="preserve"> </w:t>
            </w:r>
          </w:p>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sz w:val="16"/>
                <w:szCs w:val="16"/>
                <w:lang w:val="en-US"/>
              </w:rPr>
              <w:t xml:space="preserve">Concern in IAEG that certification is not an official policy instrument. Not all sustainably managed forest are certified – indicator could lead to misunderstanding </w:t>
            </w:r>
          </w:p>
        </w:tc>
        <w:tc>
          <w:tcPr>
            <w:tcW w:w="2693" w:type="dxa"/>
          </w:tcPr>
          <w:p w:rsidR="0029289D" w:rsidRPr="007B0CE3" w:rsidRDefault="0029289D"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Indicator ok, see the concern</w:t>
            </w:r>
          </w:p>
        </w:tc>
      </w:tr>
      <w:tr w:rsidR="007B0CE3" w:rsidRPr="007B0CE3" w:rsidTr="00202A5F">
        <w:trPr>
          <w:trHeight w:val="373"/>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11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Official development assistance for SFM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Percentage change in official development assistance for sustainable forest management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Modified. </w:t>
            </w:r>
            <w:r w:rsidRPr="007B0CE3">
              <w:rPr>
                <w:rFonts w:ascii="Calibri" w:hAnsi="Calibri" w:cs="Calibri"/>
                <w:sz w:val="16"/>
                <w:szCs w:val="16"/>
                <w:lang w:val="en-US"/>
              </w:rPr>
              <w:t xml:space="preserve">"Percentage change in…” was removed from the original wording of the indicator The use of absolute value allows calculation of share of SFM funding of total ODA. </w:t>
            </w:r>
          </w:p>
          <w:p w:rsidR="002508AB" w:rsidRPr="007B0CE3" w:rsidRDefault="002508AB" w:rsidP="002508AB">
            <w:pPr>
              <w:autoSpaceDE w:val="0"/>
              <w:autoSpaceDN w:val="0"/>
              <w:adjustRightInd w:val="0"/>
              <w:spacing w:after="0" w:line="240" w:lineRule="auto"/>
              <w:rPr>
                <w:rFonts w:ascii="Calibri" w:hAnsi="Calibri" w:cs="Calibri"/>
                <w:sz w:val="16"/>
                <w:szCs w:val="16"/>
              </w:rPr>
            </w:pPr>
            <w:proofErr w:type="spellStart"/>
            <w:r w:rsidRPr="007B0CE3">
              <w:rPr>
                <w:rFonts w:ascii="Calibri" w:hAnsi="Calibri" w:cs="Calibri"/>
                <w:sz w:val="16"/>
                <w:szCs w:val="16"/>
              </w:rPr>
              <w:t>Included</w:t>
            </w:r>
            <w:proofErr w:type="spellEnd"/>
            <w:r w:rsidRPr="007B0CE3">
              <w:rPr>
                <w:rFonts w:ascii="Calibri" w:hAnsi="Calibri" w:cs="Calibri"/>
                <w:sz w:val="16"/>
                <w:szCs w:val="16"/>
              </w:rPr>
              <w:t xml:space="preserve"> in GOFs. </w:t>
            </w:r>
          </w:p>
        </w:tc>
        <w:tc>
          <w:tcPr>
            <w:tcW w:w="2693" w:type="dxa"/>
          </w:tcPr>
          <w:p w:rsidR="0029289D" w:rsidRPr="007B0CE3" w:rsidRDefault="0029289D"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w:t>
            </w:r>
          </w:p>
        </w:tc>
      </w:tr>
      <w:tr w:rsidR="007B0CE3" w:rsidRPr="007B0CE3" w:rsidTr="00202A5F">
        <w:trPr>
          <w:trHeight w:val="471"/>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12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Volume </w:t>
            </w:r>
            <w:proofErr w:type="spellStart"/>
            <w:r w:rsidRPr="007B0CE3">
              <w:rPr>
                <w:rFonts w:ascii="Calibri" w:hAnsi="Calibri" w:cs="Calibri"/>
                <w:b/>
                <w:bCs/>
                <w:sz w:val="16"/>
                <w:szCs w:val="16"/>
              </w:rPr>
              <w:t>of</w:t>
            </w:r>
            <w:proofErr w:type="spellEnd"/>
            <w:r w:rsidRPr="007B0CE3">
              <w:rPr>
                <w:rFonts w:ascii="Calibri" w:hAnsi="Calibri" w:cs="Calibri"/>
                <w:b/>
                <w:bCs/>
                <w:sz w:val="16"/>
                <w:szCs w:val="16"/>
              </w:rPr>
              <w:t xml:space="preserve"> </w:t>
            </w:r>
            <w:proofErr w:type="spellStart"/>
            <w:r w:rsidRPr="007B0CE3">
              <w:rPr>
                <w:rFonts w:ascii="Calibri" w:hAnsi="Calibri" w:cs="Calibri"/>
                <w:b/>
                <w:bCs/>
                <w:sz w:val="16"/>
                <w:szCs w:val="16"/>
              </w:rPr>
              <w:t>wood</w:t>
            </w:r>
            <w:proofErr w:type="spellEnd"/>
            <w:r w:rsidRPr="007B0CE3">
              <w:rPr>
                <w:rFonts w:ascii="Calibri" w:hAnsi="Calibri" w:cs="Calibri"/>
                <w:b/>
                <w:bCs/>
                <w:sz w:val="16"/>
                <w:szCs w:val="16"/>
              </w:rPr>
              <w:t xml:space="preserve"> </w:t>
            </w:r>
            <w:proofErr w:type="spellStart"/>
            <w:r w:rsidRPr="007B0CE3">
              <w:rPr>
                <w:rFonts w:ascii="Calibri" w:hAnsi="Calibri" w:cs="Calibri"/>
                <w:b/>
                <w:bCs/>
                <w:sz w:val="16"/>
                <w:szCs w:val="16"/>
              </w:rPr>
              <w:t>removals</w:t>
            </w:r>
            <w:proofErr w:type="spellEnd"/>
            <w:r w:rsidRPr="007B0CE3">
              <w:rPr>
                <w:rFonts w:ascii="Calibri" w:hAnsi="Calibri" w:cs="Calibri"/>
                <w:b/>
                <w:bCs/>
                <w:sz w:val="16"/>
                <w:szCs w:val="16"/>
              </w:rPr>
              <w:t xml:space="preserve">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Volume of wood harvested per 1000 forest workers (m3/1000 workers)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Modified. </w:t>
            </w:r>
            <w:r w:rsidRPr="007B0CE3">
              <w:rPr>
                <w:rFonts w:ascii="Calibri" w:hAnsi="Calibri" w:cs="Calibri"/>
                <w:sz w:val="16"/>
                <w:szCs w:val="16"/>
                <w:lang w:val="en-US"/>
              </w:rPr>
              <w:t xml:space="preserve">Suggest replacing “wood harvested per 1000 forest workers" with “wood removals" and consider as </w:t>
            </w:r>
            <w:r w:rsidRPr="007B0CE3">
              <w:rPr>
                <w:rFonts w:ascii="Calibri" w:hAnsi="Calibri" w:cs="Calibri"/>
                <w:b/>
                <w:bCs/>
                <w:sz w:val="16"/>
                <w:szCs w:val="16"/>
                <w:lang w:val="en-US"/>
              </w:rPr>
              <w:t xml:space="preserve">new indicator, using JFSQ data. </w:t>
            </w:r>
            <w:r w:rsidRPr="007B0CE3">
              <w:rPr>
                <w:rFonts w:ascii="Calibri" w:hAnsi="Calibri" w:cs="Calibri"/>
                <w:sz w:val="16"/>
                <w:szCs w:val="16"/>
                <w:lang w:val="en-US"/>
              </w:rPr>
              <w:t xml:space="preserve">Some issues identified with the original proposal was the interpretation and significance, and how to handle informal workers. </w:t>
            </w:r>
          </w:p>
        </w:tc>
        <w:tc>
          <w:tcPr>
            <w:tcW w:w="2693" w:type="dxa"/>
          </w:tcPr>
          <w:p w:rsidR="0029289D" w:rsidRPr="007B0CE3" w:rsidRDefault="0029289D"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w:t>
            </w:r>
          </w:p>
        </w:tc>
      </w:tr>
      <w:tr w:rsidR="007B0CE3" w:rsidRPr="007B0CE3" w:rsidTr="00202A5F">
        <w:trPr>
          <w:trHeight w:val="768"/>
        </w:trPr>
        <w:tc>
          <w:tcPr>
            <w:tcW w:w="675" w:type="dxa"/>
          </w:tcPr>
          <w:p w:rsidR="002508AB" w:rsidRPr="007B0CE3" w:rsidRDefault="002508AB" w:rsidP="002508AB">
            <w:pPr>
              <w:autoSpaceDE w:val="0"/>
              <w:autoSpaceDN w:val="0"/>
              <w:adjustRightInd w:val="0"/>
              <w:spacing w:after="0" w:line="240" w:lineRule="auto"/>
              <w:rPr>
                <w:rFonts w:ascii="Calibri" w:hAnsi="Calibri" w:cs="Calibri"/>
                <w:sz w:val="16"/>
                <w:szCs w:val="16"/>
              </w:rPr>
            </w:pPr>
            <w:r w:rsidRPr="007B0CE3">
              <w:rPr>
                <w:rFonts w:ascii="Calibri" w:hAnsi="Calibri" w:cs="Calibri"/>
                <w:b/>
                <w:bCs/>
                <w:sz w:val="16"/>
                <w:szCs w:val="16"/>
              </w:rPr>
              <w:t xml:space="preserve">13 </w:t>
            </w:r>
          </w:p>
        </w:tc>
        <w:tc>
          <w:tcPr>
            <w:tcW w:w="226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Existence of a traceability system for wood products </w:t>
            </w:r>
          </w:p>
        </w:tc>
        <w:tc>
          <w:tcPr>
            <w:tcW w:w="2977"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a. Proportion of traded/consumed forest products derived from illegal logging or trade (%) </w:t>
            </w:r>
          </w:p>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or </w:t>
            </w:r>
          </w:p>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b. Existence of a robust system to track sustainable produced forest products </w:t>
            </w:r>
          </w:p>
        </w:tc>
        <w:tc>
          <w:tcPr>
            <w:tcW w:w="5670"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Modified and changed to green. </w:t>
            </w:r>
            <w:r w:rsidRPr="007B0CE3">
              <w:rPr>
                <w:rFonts w:ascii="Calibri" w:hAnsi="Calibri" w:cs="Calibri"/>
                <w:sz w:val="16"/>
                <w:szCs w:val="16"/>
                <w:lang w:val="en-US"/>
              </w:rPr>
              <w:t>The TF meeting suggested a rewording of option (b) to “</w:t>
            </w:r>
            <w:r w:rsidRPr="007B0CE3">
              <w:rPr>
                <w:rFonts w:ascii="Calibri" w:hAnsi="Calibri" w:cs="Calibri"/>
                <w:i/>
                <w:iCs/>
                <w:sz w:val="16"/>
                <w:szCs w:val="16"/>
                <w:lang w:val="en-US"/>
              </w:rPr>
              <w:t>Existence of a verified tracing system to track sustainably produced forest products</w:t>
            </w:r>
            <w:r w:rsidRPr="007B0CE3">
              <w:rPr>
                <w:rFonts w:ascii="Calibri" w:hAnsi="Calibri" w:cs="Calibri"/>
                <w:b/>
                <w:bCs/>
                <w:sz w:val="16"/>
                <w:szCs w:val="16"/>
                <w:lang w:val="en-US"/>
              </w:rPr>
              <w:t xml:space="preserve">”. </w:t>
            </w:r>
            <w:r w:rsidRPr="007B0CE3">
              <w:rPr>
                <w:rFonts w:ascii="Calibri" w:hAnsi="Calibri" w:cs="Calibri"/>
                <w:sz w:val="16"/>
                <w:szCs w:val="16"/>
                <w:lang w:val="en-US"/>
              </w:rPr>
              <w:t>After the meeting a further consultation with FAO subject specialists suggested “</w:t>
            </w:r>
            <w:r w:rsidRPr="007B0CE3">
              <w:rPr>
                <w:rFonts w:ascii="Calibri" w:hAnsi="Calibri" w:cs="Calibri"/>
                <w:i/>
                <w:iCs/>
                <w:sz w:val="16"/>
                <w:szCs w:val="16"/>
                <w:lang w:val="en-US"/>
              </w:rPr>
              <w:t>Existence of a traceability system for wood products</w:t>
            </w:r>
            <w:r w:rsidRPr="007B0CE3">
              <w:rPr>
                <w:rFonts w:ascii="Calibri" w:hAnsi="Calibri" w:cs="Calibri"/>
                <w:sz w:val="16"/>
                <w:szCs w:val="16"/>
                <w:lang w:val="en-US"/>
              </w:rPr>
              <w:t xml:space="preserve">”. FAO has modified the name accordingly. </w:t>
            </w:r>
          </w:p>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sz w:val="16"/>
                <w:szCs w:val="16"/>
                <w:lang w:val="en-US"/>
              </w:rPr>
              <w:t xml:space="preserve">The meeting suggested to </w:t>
            </w:r>
            <w:r w:rsidRPr="007B0CE3">
              <w:rPr>
                <w:rFonts w:ascii="Calibri" w:hAnsi="Calibri" w:cs="Calibri"/>
                <w:b/>
                <w:bCs/>
                <w:sz w:val="16"/>
                <w:szCs w:val="16"/>
                <w:lang w:val="en-US"/>
              </w:rPr>
              <w:t xml:space="preserve">drop option (a) </w:t>
            </w:r>
            <w:r w:rsidRPr="007B0CE3">
              <w:rPr>
                <w:rFonts w:ascii="Calibri" w:hAnsi="Calibri" w:cs="Calibri"/>
                <w:sz w:val="16"/>
                <w:szCs w:val="16"/>
                <w:lang w:val="en-US"/>
              </w:rPr>
              <w:t xml:space="preserve">as reliable data on illegal logging and trade are difficult to obtain </w:t>
            </w:r>
          </w:p>
        </w:tc>
        <w:tc>
          <w:tcPr>
            <w:tcW w:w="2693" w:type="dxa"/>
          </w:tcPr>
          <w:p w:rsidR="0029289D" w:rsidRPr="007B0CE3" w:rsidRDefault="007C6887"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Ok to drop a)</w:t>
            </w:r>
          </w:p>
        </w:tc>
      </w:tr>
      <w:tr w:rsidR="007B0CE3" w:rsidRPr="007B0CE3" w:rsidTr="00202A5F">
        <w:trPr>
          <w:trHeight w:val="768"/>
        </w:trPr>
        <w:tc>
          <w:tcPr>
            <w:tcW w:w="675" w:type="dxa"/>
          </w:tcPr>
          <w:p w:rsidR="002508AB" w:rsidRPr="007B0CE3" w:rsidRDefault="002508AB" w:rsidP="002508AB">
            <w:pPr>
              <w:autoSpaceDE w:val="0"/>
              <w:autoSpaceDN w:val="0"/>
              <w:adjustRightInd w:val="0"/>
              <w:spacing w:after="0" w:line="240" w:lineRule="auto"/>
              <w:rPr>
                <w:rFonts w:ascii="Calibri" w:hAnsi="Calibri" w:cs="Calibri"/>
                <w:b/>
                <w:bCs/>
                <w:sz w:val="16"/>
                <w:szCs w:val="16"/>
              </w:rPr>
            </w:pPr>
            <w:r w:rsidRPr="007B0CE3">
              <w:rPr>
                <w:rFonts w:ascii="Calibri" w:hAnsi="Calibri" w:cs="Calibri"/>
                <w:b/>
                <w:bCs/>
                <w:sz w:val="16"/>
                <w:szCs w:val="16"/>
              </w:rPr>
              <w:t>14</w:t>
            </w:r>
          </w:p>
        </w:tc>
        <w:tc>
          <w:tcPr>
            <w:tcW w:w="5245" w:type="dxa"/>
            <w:gridSpan w:val="2"/>
          </w:tcPr>
          <w:tbl>
            <w:tblPr>
              <w:tblW w:w="0" w:type="auto"/>
              <w:tblBorders>
                <w:top w:val="nil"/>
                <w:left w:val="nil"/>
                <w:bottom w:val="nil"/>
                <w:right w:val="nil"/>
              </w:tblBorders>
              <w:tblLayout w:type="fixed"/>
              <w:tblLook w:val="0000" w:firstRow="0" w:lastRow="0" w:firstColumn="0" w:lastColumn="0" w:noHBand="0" w:noVBand="0"/>
            </w:tblPr>
            <w:tblGrid>
              <w:gridCol w:w="4875"/>
              <w:gridCol w:w="4875"/>
            </w:tblGrid>
            <w:tr w:rsidR="007B0CE3" w:rsidRPr="007B0CE3">
              <w:trPr>
                <w:trHeight w:val="1136"/>
              </w:trPr>
              <w:tc>
                <w:tcPr>
                  <w:tcW w:w="4875"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b/>
                      <w:bCs/>
                      <w:sz w:val="16"/>
                      <w:szCs w:val="16"/>
                      <w:lang w:val="en-US"/>
                    </w:rPr>
                    <w:t xml:space="preserve">Forest health and vitality: % of forest area disturbed </w:t>
                  </w:r>
                </w:p>
              </w:tc>
              <w:tc>
                <w:tcPr>
                  <w:tcW w:w="4875"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r w:rsidRPr="007B0CE3">
                    <w:rPr>
                      <w:rFonts w:ascii="Calibri" w:hAnsi="Calibri" w:cs="Calibri"/>
                      <w:sz w:val="16"/>
                      <w:szCs w:val="16"/>
                      <w:lang w:val="en-US"/>
                    </w:rPr>
                    <w:t xml:space="preserve"> </w:t>
                  </w:r>
                </w:p>
              </w:tc>
            </w:tr>
          </w:tbl>
          <w:p w:rsidR="002508AB" w:rsidRPr="007B0CE3" w:rsidRDefault="002508AB" w:rsidP="002508AB">
            <w:pPr>
              <w:pStyle w:val="Default"/>
              <w:rPr>
                <w:b/>
                <w:bCs/>
                <w:color w:val="auto"/>
                <w:sz w:val="16"/>
                <w:szCs w:val="16"/>
                <w:lang w:val="en-US"/>
              </w:rPr>
            </w:pPr>
          </w:p>
        </w:tc>
        <w:tc>
          <w:tcPr>
            <w:tcW w:w="5670" w:type="dxa"/>
          </w:tcPr>
          <w:p w:rsidR="002508AB" w:rsidRPr="007B0CE3" w:rsidRDefault="002508AB" w:rsidP="002508AB">
            <w:pPr>
              <w:pStyle w:val="Default"/>
              <w:rPr>
                <w:color w:val="auto"/>
                <w:sz w:val="16"/>
                <w:szCs w:val="16"/>
                <w:lang w:val="en-US"/>
              </w:rPr>
            </w:pPr>
            <w:r w:rsidRPr="007B0CE3">
              <w:rPr>
                <w:b/>
                <w:bCs/>
                <w:color w:val="auto"/>
                <w:sz w:val="16"/>
                <w:szCs w:val="16"/>
                <w:lang w:val="en-US"/>
              </w:rPr>
              <w:t xml:space="preserve">Further work needed. </w:t>
            </w:r>
          </w:p>
          <w:p w:rsidR="002508AB" w:rsidRPr="007B0CE3" w:rsidRDefault="002508AB" w:rsidP="002508AB">
            <w:pPr>
              <w:pStyle w:val="Default"/>
              <w:rPr>
                <w:color w:val="auto"/>
                <w:sz w:val="16"/>
                <w:szCs w:val="16"/>
                <w:lang w:val="en-US"/>
              </w:rPr>
            </w:pPr>
            <w:r w:rsidRPr="007B0CE3">
              <w:rPr>
                <w:color w:val="auto"/>
                <w:sz w:val="16"/>
                <w:szCs w:val="16"/>
              </w:rPr>
              <w:t></w:t>
            </w:r>
            <w:r w:rsidRPr="007B0CE3">
              <w:rPr>
                <w:color w:val="auto"/>
                <w:sz w:val="16"/>
                <w:szCs w:val="16"/>
                <w:lang w:val="en-US"/>
              </w:rPr>
              <w:t xml:space="preserve"> Fairly good data exist on fire and possibly large areas hit by storms. Suggest dropping of vitality as it is difficult to measure. </w:t>
            </w:r>
          </w:p>
          <w:p w:rsidR="002508AB" w:rsidRPr="007B0CE3" w:rsidRDefault="002508AB" w:rsidP="002508AB">
            <w:pPr>
              <w:pStyle w:val="Default"/>
              <w:rPr>
                <w:color w:val="auto"/>
                <w:sz w:val="16"/>
                <w:szCs w:val="16"/>
                <w:lang w:val="en-US"/>
              </w:rPr>
            </w:pPr>
            <w:r w:rsidRPr="007B0CE3">
              <w:rPr>
                <w:color w:val="auto"/>
                <w:sz w:val="16"/>
                <w:szCs w:val="16"/>
              </w:rPr>
              <w:t></w:t>
            </w:r>
            <w:r w:rsidRPr="007B0CE3">
              <w:rPr>
                <w:color w:val="auto"/>
                <w:sz w:val="16"/>
                <w:szCs w:val="16"/>
                <w:lang w:val="en-US"/>
              </w:rPr>
              <w:t xml:space="preserve"> "Area disturbed" needs a clear definition (e.g., reduced production &gt;20%, unwanted or unnatural fire, damage from invasive insects), especially to distinguish it from ‘degradation’. So this indicator would monitor natural disturbances and other kind of degradation as well as harvesting would be reported using another indicator. </w:t>
            </w:r>
          </w:p>
          <w:p w:rsidR="002508AB" w:rsidRPr="007B0CE3" w:rsidRDefault="002508AB" w:rsidP="002508AB">
            <w:pPr>
              <w:pStyle w:val="Default"/>
              <w:rPr>
                <w:color w:val="auto"/>
                <w:sz w:val="16"/>
                <w:szCs w:val="16"/>
                <w:lang w:val="en-US"/>
              </w:rPr>
            </w:pPr>
            <w:r w:rsidRPr="007B0CE3">
              <w:rPr>
                <w:color w:val="auto"/>
                <w:sz w:val="16"/>
                <w:szCs w:val="16"/>
              </w:rPr>
              <w:t></w:t>
            </w:r>
            <w:r w:rsidRPr="007B0CE3">
              <w:rPr>
                <w:color w:val="auto"/>
                <w:sz w:val="16"/>
                <w:szCs w:val="16"/>
                <w:lang w:val="en-US"/>
              </w:rPr>
              <w:t xml:space="preserve"> It is difficult to combine data on different types of disturbance </w:t>
            </w:r>
          </w:p>
          <w:p w:rsidR="002508AB" w:rsidRPr="007B0CE3" w:rsidRDefault="002508AB" w:rsidP="002508AB">
            <w:pPr>
              <w:autoSpaceDE w:val="0"/>
              <w:autoSpaceDN w:val="0"/>
              <w:adjustRightInd w:val="0"/>
              <w:spacing w:after="0" w:line="240" w:lineRule="auto"/>
              <w:rPr>
                <w:rFonts w:ascii="Calibri" w:hAnsi="Calibri" w:cs="Calibri"/>
                <w:b/>
                <w:bCs/>
                <w:sz w:val="16"/>
                <w:szCs w:val="16"/>
                <w:lang w:val="en-US"/>
              </w:rPr>
            </w:pPr>
          </w:p>
        </w:tc>
        <w:tc>
          <w:tcPr>
            <w:tcW w:w="2693" w:type="dxa"/>
          </w:tcPr>
          <w:p w:rsidR="002508AB" w:rsidRPr="007B0CE3" w:rsidRDefault="002508AB" w:rsidP="007C6887">
            <w:pPr>
              <w:autoSpaceDE w:val="0"/>
              <w:autoSpaceDN w:val="0"/>
              <w:adjustRightInd w:val="0"/>
              <w:spacing w:after="0" w:line="240" w:lineRule="auto"/>
              <w:rPr>
                <w:rFonts w:ascii="Calibri" w:hAnsi="Calibri" w:cs="Calibri"/>
                <w:b/>
                <w:bCs/>
                <w:sz w:val="16"/>
                <w:szCs w:val="16"/>
                <w:lang w:val="en-US"/>
              </w:rPr>
            </w:pPr>
          </w:p>
        </w:tc>
      </w:tr>
      <w:tr w:rsidR="007B0CE3" w:rsidRPr="007B0CE3" w:rsidTr="00202A5F">
        <w:trPr>
          <w:trHeight w:val="768"/>
        </w:trPr>
        <w:tc>
          <w:tcPr>
            <w:tcW w:w="675" w:type="dxa"/>
          </w:tcPr>
          <w:p w:rsidR="002508AB" w:rsidRPr="007B0CE3" w:rsidRDefault="002508AB"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15</w:t>
            </w:r>
          </w:p>
        </w:tc>
        <w:tc>
          <w:tcPr>
            <w:tcW w:w="5245" w:type="dxa"/>
            <w:gridSpan w:val="2"/>
          </w:tcPr>
          <w:p w:rsidR="002508AB" w:rsidRPr="007B0CE3" w:rsidRDefault="002508AB" w:rsidP="002508AB">
            <w:pPr>
              <w:pStyle w:val="Default"/>
              <w:rPr>
                <w:color w:val="auto"/>
                <w:sz w:val="16"/>
                <w:szCs w:val="16"/>
                <w:lang w:val="en-US"/>
              </w:rPr>
            </w:pPr>
            <w:r w:rsidRPr="007B0CE3">
              <w:rPr>
                <w:b/>
                <w:bCs/>
                <w:color w:val="auto"/>
                <w:sz w:val="16"/>
                <w:szCs w:val="16"/>
                <w:lang w:val="en-US"/>
              </w:rPr>
              <w:t xml:space="preserve">Percentage change in area of degraded forest </w:t>
            </w:r>
          </w:p>
          <w:p w:rsidR="002508AB" w:rsidRPr="007B0CE3" w:rsidRDefault="002508AB" w:rsidP="002508AB">
            <w:pPr>
              <w:autoSpaceDE w:val="0"/>
              <w:autoSpaceDN w:val="0"/>
              <w:adjustRightInd w:val="0"/>
              <w:spacing w:after="0" w:line="240" w:lineRule="auto"/>
              <w:rPr>
                <w:rFonts w:ascii="Calibri" w:hAnsi="Calibri" w:cs="Calibri"/>
                <w:b/>
                <w:bCs/>
                <w:sz w:val="16"/>
                <w:szCs w:val="16"/>
                <w:lang w:val="en-US"/>
              </w:rPr>
            </w:pPr>
          </w:p>
        </w:tc>
        <w:tc>
          <w:tcPr>
            <w:tcW w:w="5670" w:type="dxa"/>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Further work needed.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Link to GOFs lost during their revision.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Measurement of forest and land restoration was seen as a better option and it was noted that the intention seems to be include forest degradation as part of 15.3.1 (Proportion of land that is degraded over total land area) which has three sub-indicators which are land cover and land cover change, land productivity, and carbon stocks above and below ground.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It was also noted that forest degradation is ambiguous as no globally agreed definition for it exists, thereby also difficult to measure. </w:t>
            </w:r>
          </w:p>
          <w:p w:rsidR="002508AB"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Should be differentiated from the indicator on disturbance. </w:t>
            </w:r>
          </w:p>
        </w:tc>
        <w:tc>
          <w:tcPr>
            <w:tcW w:w="2693" w:type="dxa"/>
          </w:tcPr>
          <w:p w:rsidR="0029289D" w:rsidRPr="007B0CE3" w:rsidRDefault="00E902B7" w:rsidP="00E902B7">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Recommend d</w:t>
            </w:r>
            <w:r w:rsidR="0029289D" w:rsidRPr="007B0CE3">
              <w:rPr>
                <w:rFonts w:ascii="Calibri" w:hAnsi="Calibri" w:cs="Calibri"/>
                <w:b/>
                <w:bCs/>
                <w:sz w:val="16"/>
                <w:szCs w:val="16"/>
                <w:lang w:val="en-US"/>
              </w:rPr>
              <w:t xml:space="preserve">iscussion with experts on MRV for REDD </w:t>
            </w:r>
            <w:r w:rsidRPr="007B0CE3">
              <w:rPr>
                <w:rFonts w:ascii="Calibri" w:hAnsi="Calibri" w:cs="Calibri"/>
                <w:b/>
                <w:bCs/>
                <w:sz w:val="16"/>
                <w:szCs w:val="16"/>
                <w:lang w:val="en-US"/>
              </w:rPr>
              <w:t>and the Global Forest Observation Initiative GFOI.</w:t>
            </w:r>
          </w:p>
        </w:tc>
      </w:tr>
      <w:tr w:rsidR="007B0CE3" w:rsidRPr="007B0CE3" w:rsidTr="00202A5F">
        <w:trPr>
          <w:trHeight w:val="768"/>
        </w:trPr>
        <w:tc>
          <w:tcPr>
            <w:tcW w:w="675" w:type="dxa"/>
          </w:tcPr>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16</w:t>
            </w:r>
          </w:p>
        </w:tc>
        <w:tc>
          <w:tcPr>
            <w:tcW w:w="5245" w:type="dxa"/>
            <w:gridSpan w:val="2"/>
          </w:tcPr>
          <w:p w:rsidR="00202A5F" w:rsidRPr="007B0CE3" w:rsidRDefault="00202A5F" w:rsidP="00202A5F">
            <w:pPr>
              <w:pStyle w:val="Default"/>
              <w:numPr>
                <w:ilvl w:val="0"/>
                <w:numId w:val="2"/>
              </w:numPr>
              <w:rPr>
                <w:color w:val="auto"/>
                <w:sz w:val="16"/>
                <w:szCs w:val="16"/>
                <w:lang w:val="en-US"/>
              </w:rPr>
            </w:pPr>
            <w:r w:rsidRPr="007B0CE3">
              <w:rPr>
                <w:b/>
                <w:bCs/>
                <w:color w:val="auto"/>
                <w:sz w:val="16"/>
                <w:szCs w:val="16"/>
                <w:lang w:val="en-US"/>
              </w:rPr>
              <w:t xml:space="preserve">Percentage change in the number of forest dependent people </w:t>
            </w:r>
          </w:p>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or </w:t>
            </w:r>
          </w:p>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r w:rsidRPr="007B0CE3">
              <w:rPr>
                <w:b/>
                <w:bCs/>
                <w:sz w:val="16"/>
                <w:szCs w:val="16"/>
                <w:lang w:val="en-US"/>
              </w:rPr>
              <w:t xml:space="preserve">b. Livelihoods of forest dependent people </w:t>
            </w:r>
          </w:p>
        </w:tc>
        <w:tc>
          <w:tcPr>
            <w:tcW w:w="5670" w:type="dxa"/>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Further work needed.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Both indicators are vague as the terms ‘forest-dependent people’ and “livelihoods” lack globally accepted definitions.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It is not clear whether a positive change in the value of the indicator reflects positive development. </w:t>
            </w:r>
          </w:p>
          <w:p w:rsidR="00202A5F" w:rsidRPr="007B0CE3" w:rsidRDefault="00202A5F" w:rsidP="00202A5F">
            <w:pPr>
              <w:pStyle w:val="Default"/>
              <w:rPr>
                <w:color w:val="auto"/>
                <w:sz w:val="16"/>
                <w:szCs w:val="16"/>
                <w:lang w:val="en-US"/>
              </w:rPr>
            </w:pPr>
            <w:r w:rsidRPr="007B0CE3">
              <w:rPr>
                <w:color w:val="auto"/>
                <w:sz w:val="16"/>
                <w:szCs w:val="16"/>
              </w:rPr>
              <w:lastRenderedPageBreak/>
              <w:t></w:t>
            </w:r>
            <w:r w:rsidRPr="007B0CE3">
              <w:rPr>
                <w:color w:val="auto"/>
                <w:sz w:val="16"/>
                <w:szCs w:val="16"/>
                <w:lang w:val="en-US"/>
              </w:rPr>
              <w:t xml:space="preserve"> The TF proposes using "Number of people living in extreme poverty whose livelihoods are dependent on forest and trees" instead.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The indicator requires further work and alignment with the Global Forest Goals. </w:t>
            </w:r>
          </w:p>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p>
        </w:tc>
        <w:tc>
          <w:tcPr>
            <w:tcW w:w="2693" w:type="dxa"/>
          </w:tcPr>
          <w:p w:rsidR="00E902B7" w:rsidRPr="007B0CE3" w:rsidRDefault="00E902B7"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lastRenderedPageBreak/>
              <w:t>Very vague indicator, is it really necessary to have it?</w:t>
            </w:r>
          </w:p>
        </w:tc>
      </w:tr>
      <w:tr w:rsidR="007B0CE3" w:rsidRPr="007B0CE3" w:rsidTr="00202A5F">
        <w:trPr>
          <w:trHeight w:val="768"/>
        </w:trPr>
        <w:tc>
          <w:tcPr>
            <w:tcW w:w="675" w:type="dxa"/>
          </w:tcPr>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lastRenderedPageBreak/>
              <w:t>17</w:t>
            </w:r>
          </w:p>
        </w:tc>
        <w:tc>
          <w:tcPr>
            <w:tcW w:w="5245" w:type="dxa"/>
            <w:gridSpan w:val="2"/>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Financial resources from all sources (except ODA) for the implementation of sustainable forest management ($/ha of forest) </w:t>
            </w:r>
          </w:p>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p>
        </w:tc>
        <w:tc>
          <w:tcPr>
            <w:tcW w:w="5670" w:type="dxa"/>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Further work needed.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Included in the GOFs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Need to define “all sources”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Although it is important to track all financing sources it would be easier to limit the indicator to public expenditure on SFM (as was done in the past FRAs).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Potential danger of double accounting (private sector, academia, </w:t>
            </w:r>
            <w:proofErr w:type="spellStart"/>
            <w:r w:rsidRPr="007B0CE3">
              <w:rPr>
                <w:color w:val="auto"/>
                <w:sz w:val="16"/>
                <w:szCs w:val="16"/>
                <w:lang w:val="en-US"/>
              </w:rPr>
              <w:t>etc</w:t>
            </w:r>
            <w:proofErr w:type="spellEnd"/>
            <w:r w:rsidRPr="007B0CE3">
              <w:rPr>
                <w:color w:val="auto"/>
                <w:sz w:val="16"/>
                <w:szCs w:val="16"/>
                <w:lang w:val="en-US"/>
              </w:rPr>
              <w:t xml:space="preserve">). </w:t>
            </w:r>
          </w:p>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p>
        </w:tc>
        <w:tc>
          <w:tcPr>
            <w:tcW w:w="2693" w:type="dxa"/>
          </w:tcPr>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p>
        </w:tc>
      </w:tr>
      <w:tr w:rsidR="007B0CE3" w:rsidRPr="007B0CE3" w:rsidTr="00202A5F">
        <w:trPr>
          <w:trHeight w:val="768"/>
        </w:trPr>
        <w:tc>
          <w:tcPr>
            <w:tcW w:w="675" w:type="dxa"/>
          </w:tcPr>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18</w:t>
            </w:r>
          </w:p>
        </w:tc>
        <w:tc>
          <w:tcPr>
            <w:tcW w:w="5245" w:type="dxa"/>
            <w:gridSpan w:val="2"/>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Share of wood based energy in total primary energy consumption, of which in modern clean systems (%) </w:t>
            </w:r>
          </w:p>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p>
        </w:tc>
        <w:tc>
          <w:tcPr>
            <w:tcW w:w="5670" w:type="dxa"/>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Further work needed.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The Task Force questioned this indicator’s role in the GCS of indicator and proposes using </w:t>
            </w:r>
            <w:r w:rsidRPr="007B0CE3">
              <w:rPr>
                <w:b/>
                <w:bCs/>
                <w:color w:val="auto"/>
                <w:sz w:val="16"/>
                <w:szCs w:val="16"/>
                <w:lang w:val="en-US"/>
              </w:rPr>
              <w:t xml:space="preserve">removal statistics </w:t>
            </w:r>
            <w:r w:rsidRPr="007B0CE3">
              <w:rPr>
                <w:color w:val="auto"/>
                <w:sz w:val="16"/>
                <w:szCs w:val="16"/>
                <w:lang w:val="en-US"/>
              </w:rPr>
              <w:t>(</w:t>
            </w:r>
            <w:proofErr w:type="spellStart"/>
            <w:r w:rsidRPr="007B0CE3">
              <w:rPr>
                <w:color w:val="auto"/>
                <w:sz w:val="16"/>
                <w:szCs w:val="16"/>
                <w:lang w:val="en-US"/>
              </w:rPr>
              <w:t>woodfuel</w:t>
            </w:r>
            <w:proofErr w:type="spellEnd"/>
            <w:r w:rsidRPr="007B0CE3">
              <w:rPr>
                <w:color w:val="auto"/>
                <w:sz w:val="16"/>
                <w:szCs w:val="16"/>
                <w:lang w:val="en-US"/>
              </w:rPr>
              <w:t xml:space="preserve"> vs total removals) instead.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Its significance is not fully clear (traditional wood energy vs. clean wood-based renewable energy) </w:t>
            </w:r>
          </w:p>
          <w:p w:rsidR="00202A5F" w:rsidRPr="007B0CE3" w:rsidRDefault="00202A5F" w:rsidP="00202A5F">
            <w:pPr>
              <w:pStyle w:val="Default"/>
              <w:rPr>
                <w:b/>
                <w:bCs/>
                <w:color w:val="auto"/>
                <w:sz w:val="16"/>
                <w:szCs w:val="16"/>
                <w:lang w:val="en-US"/>
              </w:rPr>
            </w:pPr>
          </w:p>
        </w:tc>
        <w:tc>
          <w:tcPr>
            <w:tcW w:w="2693" w:type="dxa"/>
          </w:tcPr>
          <w:p w:rsidR="00237BA2" w:rsidRPr="007B0CE3" w:rsidRDefault="007C6887" w:rsidP="007C6887">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 xml:space="preserve">Relevance of the indicator unclear; </w:t>
            </w:r>
            <w:r w:rsidR="00237BA2" w:rsidRPr="007B0CE3">
              <w:rPr>
                <w:rFonts w:ascii="Calibri" w:hAnsi="Calibri" w:cs="Calibri"/>
                <w:b/>
                <w:bCs/>
                <w:sz w:val="16"/>
                <w:szCs w:val="16"/>
                <w:lang w:val="en-US"/>
              </w:rPr>
              <w:t>wood energy is a challenge in  countries, where the market is informal</w:t>
            </w:r>
            <w:r w:rsidR="009804B3" w:rsidRPr="007B0CE3">
              <w:rPr>
                <w:rFonts w:ascii="Calibri" w:hAnsi="Calibri" w:cs="Calibri"/>
                <w:b/>
                <w:bCs/>
                <w:sz w:val="16"/>
                <w:szCs w:val="16"/>
                <w:lang w:val="en-US"/>
              </w:rPr>
              <w:t xml:space="preserve"> and illegal and the combustion</w:t>
            </w:r>
            <w:r w:rsidR="00237BA2" w:rsidRPr="007B0CE3">
              <w:rPr>
                <w:rFonts w:ascii="Calibri" w:hAnsi="Calibri" w:cs="Calibri"/>
                <w:b/>
                <w:bCs/>
                <w:sz w:val="16"/>
                <w:szCs w:val="16"/>
                <w:lang w:val="en-US"/>
              </w:rPr>
              <w:t xml:space="preserve"> inefficient; </w:t>
            </w:r>
          </w:p>
          <w:p w:rsidR="00237BA2" w:rsidRDefault="00237BA2" w:rsidP="007C6887">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Recommend focusing rather on the sustainability of the source</w:t>
            </w:r>
            <w:r w:rsidR="009804B3" w:rsidRPr="007B0CE3">
              <w:rPr>
                <w:rFonts w:ascii="Calibri" w:hAnsi="Calibri" w:cs="Calibri"/>
                <w:b/>
                <w:bCs/>
                <w:sz w:val="16"/>
                <w:szCs w:val="16"/>
                <w:lang w:val="en-US"/>
              </w:rPr>
              <w:t xml:space="preserve"> (then it is renewable, but might not be efficiently used)</w:t>
            </w:r>
            <w:r w:rsidRPr="007B0CE3">
              <w:rPr>
                <w:rFonts w:ascii="Calibri" w:hAnsi="Calibri" w:cs="Calibri"/>
                <w:b/>
                <w:bCs/>
                <w:sz w:val="16"/>
                <w:szCs w:val="16"/>
                <w:lang w:val="en-US"/>
              </w:rPr>
              <w:t xml:space="preserve">; the efficiency of the use (clean </w:t>
            </w:r>
            <w:proofErr w:type="spellStart"/>
            <w:r w:rsidRPr="007B0CE3">
              <w:rPr>
                <w:rFonts w:ascii="Calibri" w:hAnsi="Calibri" w:cs="Calibri"/>
                <w:b/>
                <w:bCs/>
                <w:sz w:val="16"/>
                <w:szCs w:val="16"/>
                <w:lang w:val="en-US"/>
              </w:rPr>
              <w:t>cookstoves</w:t>
            </w:r>
            <w:proofErr w:type="spellEnd"/>
            <w:r w:rsidRPr="007B0CE3">
              <w:rPr>
                <w:rFonts w:ascii="Calibri" w:hAnsi="Calibri" w:cs="Calibri"/>
                <w:b/>
                <w:bCs/>
                <w:sz w:val="16"/>
                <w:szCs w:val="16"/>
                <w:lang w:val="en-US"/>
              </w:rPr>
              <w:t xml:space="preserve"> and </w:t>
            </w:r>
            <w:r w:rsidR="009804B3" w:rsidRPr="007B0CE3">
              <w:rPr>
                <w:rFonts w:ascii="Calibri" w:hAnsi="Calibri" w:cs="Calibri"/>
                <w:b/>
                <w:bCs/>
                <w:sz w:val="16"/>
                <w:szCs w:val="16"/>
                <w:lang w:val="en-US"/>
              </w:rPr>
              <w:t>clean combustion</w:t>
            </w:r>
            <w:r w:rsidRPr="007B0CE3">
              <w:rPr>
                <w:rFonts w:ascii="Calibri" w:hAnsi="Calibri" w:cs="Calibri"/>
                <w:b/>
                <w:bCs/>
                <w:sz w:val="16"/>
                <w:szCs w:val="16"/>
                <w:lang w:val="en-US"/>
              </w:rPr>
              <w:t xml:space="preserve"> should be measured in energy sector).</w:t>
            </w:r>
          </w:p>
          <w:p w:rsidR="007B0CE3" w:rsidRDefault="007B0CE3" w:rsidP="007C6887">
            <w:pPr>
              <w:autoSpaceDE w:val="0"/>
              <w:autoSpaceDN w:val="0"/>
              <w:adjustRightInd w:val="0"/>
              <w:spacing w:after="0" w:line="240" w:lineRule="auto"/>
              <w:rPr>
                <w:rFonts w:ascii="Calibri" w:hAnsi="Calibri" w:cs="Calibri"/>
                <w:b/>
                <w:bCs/>
                <w:sz w:val="16"/>
                <w:szCs w:val="16"/>
                <w:lang w:val="en-US"/>
              </w:rPr>
            </w:pPr>
          </w:p>
          <w:p w:rsidR="007B0CE3" w:rsidRPr="007B0CE3" w:rsidRDefault="007B0CE3" w:rsidP="007B0CE3">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Challenge in many countries is: availability and accessibility of national wood energy demand and supply data and data on the sustainability of the source.</w:t>
            </w:r>
          </w:p>
          <w:p w:rsidR="007B0CE3" w:rsidRPr="007B0CE3" w:rsidRDefault="007B0CE3" w:rsidP="007C6887">
            <w:pPr>
              <w:autoSpaceDE w:val="0"/>
              <w:autoSpaceDN w:val="0"/>
              <w:adjustRightInd w:val="0"/>
              <w:spacing w:after="0" w:line="240" w:lineRule="auto"/>
              <w:rPr>
                <w:rFonts w:ascii="Calibri" w:hAnsi="Calibri" w:cs="Calibri"/>
                <w:b/>
                <w:bCs/>
                <w:sz w:val="16"/>
                <w:szCs w:val="16"/>
                <w:lang w:val="en-US"/>
              </w:rPr>
            </w:pPr>
            <w:r>
              <w:rPr>
                <w:rFonts w:ascii="Calibri" w:hAnsi="Calibri" w:cs="Calibri"/>
                <w:b/>
                <w:bCs/>
                <w:sz w:val="16"/>
                <w:szCs w:val="16"/>
                <w:lang w:val="en-US"/>
              </w:rPr>
              <w:t xml:space="preserve">Recommend to discuss with experts from FAO and SEI on WISDOM and assessment on “non-renewable biomass”. </w:t>
            </w:r>
          </w:p>
          <w:p w:rsidR="00237BA2" w:rsidRPr="007B0CE3" w:rsidRDefault="00237BA2" w:rsidP="007C6887">
            <w:pPr>
              <w:autoSpaceDE w:val="0"/>
              <w:autoSpaceDN w:val="0"/>
              <w:adjustRightInd w:val="0"/>
              <w:spacing w:after="0" w:line="240" w:lineRule="auto"/>
              <w:rPr>
                <w:rFonts w:ascii="Calibri" w:hAnsi="Calibri" w:cs="Calibri"/>
                <w:b/>
                <w:bCs/>
                <w:sz w:val="16"/>
                <w:szCs w:val="16"/>
                <w:lang w:val="en-US"/>
              </w:rPr>
            </w:pPr>
          </w:p>
          <w:p w:rsidR="007C6887" w:rsidRPr="007B0CE3" w:rsidRDefault="007B0CE3" w:rsidP="007C6887">
            <w:pPr>
              <w:autoSpaceDE w:val="0"/>
              <w:autoSpaceDN w:val="0"/>
              <w:adjustRightInd w:val="0"/>
              <w:spacing w:after="0" w:line="240" w:lineRule="auto"/>
              <w:rPr>
                <w:rFonts w:ascii="Calibri" w:hAnsi="Calibri" w:cs="Calibri"/>
                <w:b/>
                <w:bCs/>
                <w:sz w:val="16"/>
                <w:szCs w:val="16"/>
                <w:lang w:val="en-US"/>
              </w:rPr>
            </w:pPr>
            <w:r>
              <w:rPr>
                <w:rFonts w:ascii="Calibri" w:hAnsi="Calibri" w:cs="Calibri"/>
                <w:b/>
                <w:bCs/>
                <w:sz w:val="16"/>
                <w:szCs w:val="16"/>
                <w:lang w:val="en-US"/>
              </w:rPr>
              <w:t>Alternative s</w:t>
            </w:r>
            <w:r w:rsidR="00C81A7B" w:rsidRPr="007B0CE3">
              <w:rPr>
                <w:rFonts w:ascii="Calibri" w:hAnsi="Calibri" w:cs="Calibri"/>
                <w:b/>
                <w:bCs/>
                <w:sz w:val="16"/>
                <w:szCs w:val="16"/>
                <w:lang w:val="en-US"/>
              </w:rPr>
              <w:t>uggestions</w:t>
            </w:r>
            <w:r>
              <w:rPr>
                <w:rFonts w:ascii="Calibri" w:hAnsi="Calibri" w:cs="Calibri"/>
                <w:b/>
                <w:bCs/>
                <w:sz w:val="16"/>
                <w:szCs w:val="16"/>
                <w:lang w:val="en-US"/>
              </w:rPr>
              <w:t xml:space="preserve"> for indicators</w:t>
            </w:r>
            <w:r w:rsidR="00C81A7B" w:rsidRPr="007B0CE3">
              <w:rPr>
                <w:rFonts w:ascii="Calibri" w:hAnsi="Calibri" w:cs="Calibri"/>
                <w:b/>
                <w:bCs/>
                <w:sz w:val="16"/>
                <w:szCs w:val="16"/>
                <w:lang w:val="en-US"/>
              </w:rPr>
              <w:t>:</w:t>
            </w:r>
          </w:p>
          <w:p w:rsidR="00237BA2" w:rsidRPr="007B0CE3" w:rsidRDefault="00237BA2" w:rsidP="00237BA2">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 xml:space="preserve">existence of national </w:t>
            </w:r>
            <w:r w:rsidR="00C81A7B" w:rsidRPr="007B0CE3">
              <w:rPr>
                <w:rFonts w:ascii="Calibri" w:hAnsi="Calibri" w:cs="Calibri"/>
                <w:b/>
                <w:bCs/>
                <w:sz w:val="16"/>
                <w:szCs w:val="16"/>
                <w:lang w:val="en-US"/>
              </w:rPr>
              <w:t xml:space="preserve">sustainable </w:t>
            </w:r>
            <w:r w:rsidRPr="007B0CE3">
              <w:rPr>
                <w:rFonts w:ascii="Calibri" w:hAnsi="Calibri" w:cs="Calibri"/>
                <w:b/>
                <w:bCs/>
                <w:sz w:val="16"/>
                <w:szCs w:val="16"/>
                <w:lang w:val="en-US"/>
              </w:rPr>
              <w:t xml:space="preserve">bioenergy policies (including aspects of sustainable supply and demand of wood energy and aspects on its substitution) </w:t>
            </w:r>
          </w:p>
          <w:p w:rsidR="00237BA2" w:rsidRPr="007B0CE3" w:rsidRDefault="00237BA2" w:rsidP="00237BA2">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OR</w:t>
            </w:r>
          </w:p>
          <w:p w:rsidR="00E902B7" w:rsidRPr="007B0CE3" w:rsidRDefault="00237BA2" w:rsidP="00237BA2">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accessibility and availability of data on fiscal income from wood energy from sustainable sources</w:t>
            </w:r>
          </w:p>
        </w:tc>
      </w:tr>
      <w:tr w:rsidR="007B0CE3" w:rsidRPr="007B0CE3" w:rsidTr="00202A5F">
        <w:trPr>
          <w:trHeight w:val="768"/>
        </w:trPr>
        <w:tc>
          <w:tcPr>
            <w:tcW w:w="675" w:type="dxa"/>
          </w:tcPr>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lastRenderedPageBreak/>
              <w:t>19</w:t>
            </w:r>
          </w:p>
        </w:tc>
        <w:tc>
          <w:tcPr>
            <w:tcW w:w="5245" w:type="dxa"/>
            <w:gridSpan w:val="2"/>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Value of payments for ecosystem services (PES) related to forests (value of payments, as ratio to total forest area or area of forest covered by such PES) </w:t>
            </w:r>
          </w:p>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p>
        </w:tc>
        <w:tc>
          <w:tcPr>
            <w:tcW w:w="5670" w:type="dxa"/>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Further work needed.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Not ready for the GCS of indicators. Data on payments (from where?)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Concepts not yet defined </w:t>
            </w:r>
          </w:p>
          <w:p w:rsidR="00202A5F" w:rsidRPr="007B0CE3" w:rsidRDefault="00202A5F" w:rsidP="00202A5F">
            <w:pPr>
              <w:pStyle w:val="Default"/>
              <w:rPr>
                <w:color w:val="auto"/>
                <w:sz w:val="16"/>
                <w:szCs w:val="16"/>
                <w:lang w:val="en-US"/>
              </w:rPr>
            </w:pPr>
            <w:r w:rsidRPr="007B0CE3">
              <w:rPr>
                <w:color w:val="auto"/>
                <w:sz w:val="16"/>
                <w:szCs w:val="16"/>
              </w:rPr>
              <w:t></w:t>
            </w:r>
            <w:r w:rsidRPr="007B0CE3">
              <w:rPr>
                <w:color w:val="auto"/>
                <w:sz w:val="16"/>
                <w:szCs w:val="16"/>
                <w:lang w:val="en-US"/>
              </w:rPr>
              <w:t xml:space="preserve"> Measurement problems, especially for small PES schemes </w:t>
            </w:r>
          </w:p>
          <w:p w:rsidR="00202A5F" w:rsidRPr="007B0CE3" w:rsidRDefault="00202A5F" w:rsidP="00202A5F">
            <w:pPr>
              <w:pStyle w:val="Default"/>
              <w:rPr>
                <w:b/>
                <w:bCs/>
                <w:color w:val="auto"/>
                <w:sz w:val="16"/>
                <w:szCs w:val="16"/>
                <w:lang w:val="en-US"/>
              </w:rPr>
            </w:pPr>
          </w:p>
        </w:tc>
        <w:tc>
          <w:tcPr>
            <w:tcW w:w="2693" w:type="dxa"/>
          </w:tcPr>
          <w:p w:rsidR="00E902B7" w:rsidRPr="007B0CE3" w:rsidRDefault="007C6887"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 xml:space="preserve">Recommend to drop this indicator </w:t>
            </w:r>
            <w:r w:rsidR="00E902B7" w:rsidRPr="007B0CE3">
              <w:rPr>
                <w:rFonts w:ascii="Calibri" w:hAnsi="Calibri" w:cs="Calibri"/>
                <w:b/>
                <w:bCs/>
                <w:sz w:val="16"/>
                <w:szCs w:val="16"/>
                <w:lang w:val="en-US"/>
              </w:rPr>
              <w:t>as it would be very complicated</w:t>
            </w:r>
            <w:bookmarkStart w:id="0" w:name="_GoBack"/>
            <w:bookmarkEnd w:id="0"/>
          </w:p>
        </w:tc>
      </w:tr>
      <w:tr w:rsidR="007B0CE3" w:rsidRPr="007B0CE3" w:rsidTr="00204F36">
        <w:trPr>
          <w:trHeight w:val="768"/>
        </w:trPr>
        <w:tc>
          <w:tcPr>
            <w:tcW w:w="675" w:type="dxa"/>
          </w:tcPr>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20</w:t>
            </w:r>
          </w:p>
        </w:tc>
        <w:tc>
          <w:tcPr>
            <w:tcW w:w="5245" w:type="dxa"/>
            <w:gridSpan w:val="2"/>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Recovery rates for paper and solid wood products (volume recovered for re-use as % of volume consumed) </w:t>
            </w:r>
          </w:p>
          <w:p w:rsidR="00202A5F" w:rsidRPr="007B0CE3" w:rsidRDefault="00202A5F" w:rsidP="00202A5F">
            <w:pPr>
              <w:pStyle w:val="Default"/>
              <w:rPr>
                <w:b/>
                <w:bCs/>
                <w:color w:val="auto"/>
                <w:sz w:val="16"/>
                <w:szCs w:val="16"/>
                <w:lang w:val="en-US"/>
              </w:rPr>
            </w:pPr>
          </w:p>
        </w:tc>
        <w:tc>
          <w:tcPr>
            <w:tcW w:w="5670" w:type="dxa"/>
          </w:tcPr>
          <w:p w:rsidR="00202A5F" w:rsidRPr="007B0CE3" w:rsidRDefault="00202A5F" w:rsidP="00202A5F">
            <w:pPr>
              <w:pStyle w:val="Default"/>
              <w:rPr>
                <w:color w:val="auto"/>
                <w:sz w:val="16"/>
                <w:szCs w:val="16"/>
                <w:lang w:val="en-US"/>
              </w:rPr>
            </w:pPr>
            <w:r w:rsidRPr="007B0CE3">
              <w:rPr>
                <w:color w:val="auto"/>
                <w:sz w:val="16"/>
                <w:szCs w:val="16"/>
                <w:lang w:val="en-US"/>
              </w:rPr>
              <w:t xml:space="preserve">Indicator considered outside scope of SFM, as not subject to SFM policy instruments </w:t>
            </w:r>
          </w:p>
          <w:p w:rsidR="00202A5F" w:rsidRPr="007B0CE3" w:rsidRDefault="00202A5F" w:rsidP="00202A5F">
            <w:pPr>
              <w:pStyle w:val="Default"/>
              <w:rPr>
                <w:b/>
                <w:bCs/>
                <w:color w:val="auto"/>
                <w:sz w:val="16"/>
                <w:szCs w:val="16"/>
                <w:lang w:val="en-US"/>
              </w:rPr>
            </w:pPr>
          </w:p>
        </w:tc>
        <w:tc>
          <w:tcPr>
            <w:tcW w:w="2693" w:type="dxa"/>
          </w:tcPr>
          <w:p w:rsidR="00202A5F" w:rsidRPr="007B0CE3" w:rsidRDefault="009804B3"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Recommend to drop the indicator</w:t>
            </w:r>
          </w:p>
        </w:tc>
      </w:tr>
      <w:tr w:rsidR="007B0CE3" w:rsidRPr="007B0CE3" w:rsidTr="00470B9C">
        <w:trPr>
          <w:trHeight w:val="768"/>
        </w:trPr>
        <w:tc>
          <w:tcPr>
            <w:tcW w:w="675" w:type="dxa"/>
          </w:tcPr>
          <w:p w:rsidR="00202A5F" w:rsidRPr="007B0CE3" w:rsidRDefault="00202A5F"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21</w:t>
            </w:r>
          </w:p>
        </w:tc>
        <w:tc>
          <w:tcPr>
            <w:tcW w:w="5245" w:type="dxa"/>
            <w:gridSpan w:val="2"/>
          </w:tcPr>
          <w:p w:rsidR="00202A5F" w:rsidRPr="007B0CE3" w:rsidRDefault="00202A5F" w:rsidP="00202A5F">
            <w:pPr>
              <w:pStyle w:val="Default"/>
              <w:rPr>
                <w:color w:val="auto"/>
                <w:sz w:val="16"/>
                <w:szCs w:val="16"/>
                <w:lang w:val="en-US"/>
              </w:rPr>
            </w:pPr>
            <w:r w:rsidRPr="007B0CE3">
              <w:rPr>
                <w:b/>
                <w:bCs/>
                <w:color w:val="auto"/>
                <w:sz w:val="16"/>
                <w:szCs w:val="16"/>
                <w:lang w:val="en-US"/>
              </w:rPr>
              <w:t xml:space="preserve">Carbon stocks and carbon stock changes in forest land: net forest GHG sink/source of forests, forest carbon stock, carbon storage in harvested wood products (Tons C) </w:t>
            </w:r>
          </w:p>
          <w:p w:rsidR="00202A5F" w:rsidRPr="007B0CE3" w:rsidRDefault="00202A5F" w:rsidP="00202A5F">
            <w:pPr>
              <w:pStyle w:val="Default"/>
              <w:rPr>
                <w:b/>
                <w:bCs/>
                <w:color w:val="auto"/>
                <w:sz w:val="16"/>
                <w:szCs w:val="16"/>
                <w:lang w:val="en-US"/>
              </w:rPr>
            </w:pPr>
          </w:p>
        </w:tc>
        <w:tc>
          <w:tcPr>
            <w:tcW w:w="5670" w:type="dxa"/>
          </w:tcPr>
          <w:p w:rsidR="00202A5F" w:rsidRPr="007B0CE3" w:rsidRDefault="00202A5F" w:rsidP="00202A5F">
            <w:pPr>
              <w:pStyle w:val="Default"/>
              <w:rPr>
                <w:color w:val="auto"/>
                <w:sz w:val="16"/>
                <w:szCs w:val="16"/>
              </w:rPr>
            </w:pPr>
            <w:r w:rsidRPr="007B0CE3">
              <w:rPr>
                <w:b/>
                <w:bCs/>
                <w:color w:val="auto"/>
                <w:sz w:val="16"/>
                <w:szCs w:val="16"/>
                <w:lang w:val="en-US"/>
              </w:rPr>
              <w:t xml:space="preserve">TF meeting suggest </w:t>
            </w:r>
            <w:proofErr w:type="gramStart"/>
            <w:r w:rsidRPr="007B0CE3">
              <w:rPr>
                <w:b/>
                <w:bCs/>
                <w:color w:val="auto"/>
                <w:sz w:val="16"/>
                <w:szCs w:val="16"/>
                <w:lang w:val="en-US"/>
              </w:rPr>
              <w:t>to drop</w:t>
            </w:r>
            <w:proofErr w:type="gramEnd"/>
            <w:r w:rsidRPr="007B0CE3">
              <w:rPr>
                <w:b/>
                <w:bCs/>
                <w:color w:val="auto"/>
                <w:sz w:val="16"/>
                <w:szCs w:val="16"/>
                <w:lang w:val="en-US"/>
              </w:rPr>
              <w:t xml:space="preserve"> this indicator</w:t>
            </w:r>
            <w:r w:rsidRPr="007B0CE3">
              <w:rPr>
                <w:color w:val="auto"/>
                <w:sz w:val="16"/>
                <w:szCs w:val="16"/>
                <w:lang w:val="en-US"/>
              </w:rPr>
              <w:t xml:space="preserve">. Changes in ABG biomass stock already captured by another indicator. Using UNFCCC data could cause confusion as it often disagrees with the figures reported to FRA (forest definition, etc.). </w:t>
            </w:r>
            <w:proofErr w:type="spellStart"/>
            <w:r w:rsidRPr="007B0CE3">
              <w:rPr>
                <w:color w:val="auto"/>
                <w:sz w:val="16"/>
                <w:szCs w:val="16"/>
              </w:rPr>
              <w:t>Too</w:t>
            </w:r>
            <w:proofErr w:type="spellEnd"/>
            <w:r w:rsidRPr="007B0CE3">
              <w:rPr>
                <w:color w:val="auto"/>
                <w:sz w:val="16"/>
                <w:szCs w:val="16"/>
              </w:rPr>
              <w:t xml:space="preserve"> </w:t>
            </w:r>
            <w:proofErr w:type="spellStart"/>
            <w:r w:rsidRPr="007B0CE3">
              <w:rPr>
                <w:color w:val="auto"/>
                <w:sz w:val="16"/>
                <w:szCs w:val="16"/>
              </w:rPr>
              <w:t>many</w:t>
            </w:r>
            <w:proofErr w:type="spellEnd"/>
            <w:r w:rsidRPr="007B0CE3">
              <w:rPr>
                <w:color w:val="auto"/>
                <w:sz w:val="16"/>
                <w:szCs w:val="16"/>
              </w:rPr>
              <w:t xml:space="preserve"> </w:t>
            </w:r>
            <w:proofErr w:type="spellStart"/>
            <w:r w:rsidRPr="007B0CE3">
              <w:rPr>
                <w:color w:val="auto"/>
                <w:sz w:val="16"/>
                <w:szCs w:val="16"/>
              </w:rPr>
              <w:t>elements</w:t>
            </w:r>
            <w:proofErr w:type="spellEnd"/>
            <w:r w:rsidRPr="007B0CE3">
              <w:rPr>
                <w:color w:val="auto"/>
                <w:sz w:val="16"/>
                <w:szCs w:val="16"/>
              </w:rPr>
              <w:t xml:space="preserve"> in </w:t>
            </w:r>
            <w:proofErr w:type="spellStart"/>
            <w:r w:rsidRPr="007B0CE3">
              <w:rPr>
                <w:color w:val="auto"/>
                <w:sz w:val="16"/>
                <w:szCs w:val="16"/>
              </w:rPr>
              <w:t>indicator</w:t>
            </w:r>
            <w:proofErr w:type="spellEnd"/>
            <w:r w:rsidRPr="007B0CE3">
              <w:rPr>
                <w:color w:val="auto"/>
                <w:sz w:val="16"/>
                <w:szCs w:val="16"/>
              </w:rPr>
              <w:t xml:space="preserve"> </w:t>
            </w:r>
          </w:p>
          <w:p w:rsidR="00202A5F" w:rsidRPr="007B0CE3" w:rsidRDefault="00202A5F" w:rsidP="00202A5F">
            <w:pPr>
              <w:pStyle w:val="Default"/>
              <w:rPr>
                <w:b/>
                <w:bCs/>
                <w:color w:val="auto"/>
                <w:sz w:val="16"/>
                <w:szCs w:val="16"/>
                <w:lang w:val="en-US"/>
              </w:rPr>
            </w:pPr>
          </w:p>
        </w:tc>
        <w:tc>
          <w:tcPr>
            <w:tcW w:w="2693" w:type="dxa"/>
          </w:tcPr>
          <w:p w:rsidR="00202A5F" w:rsidRPr="007B0CE3" w:rsidRDefault="009804B3" w:rsidP="002508AB">
            <w:pPr>
              <w:autoSpaceDE w:val="0"/>
              <w:autoSpaceDN w:val="0"/>
              <w:adjustRightInd w:val="0"/>
              <w:spacing w:after="0" w:line="240" w:lineRule="auto"/>
              <w:rPr>
                <w:rFonts w:ascii="Calibri" w:hAnsi="Calibri" w:cs="Calibri"/>
                <w:b/>
                <w:bCs/>
                <w:sz w:val="16"/>
                <w:szCs w:val="16"/>
                <w:lang w:val="en-US"/>
              </w:rPr>
            </w:pPr>
            <w:r w:rsidRPr="007B0CE3">
              <w:rPr>
                <w:rFonts w:ascii="Calibri" w:hAnsi="Calibri" w:cs="Calibri"/>
                <w:b/>
                <w:bCs/>
                <w:sz w:val="16"/>
                <w:szCs w:val="16"/>
                <w:lang w:val="en-US"/>
              </w:rPr>
              <w:t>Recommend to drop</w:t>
            </w:r>
            <w:r w:rsidR="00237BA2" w:rsidRPr="007B0CE3">
              <w:rPr>
                <w:rFonts w:ascii="Calibri" w:hAnsi="Calibri" w:cs="Calibri"/>
                <w:b/>
                <w:bCs/>
                <w:sz w:val="16"/>
                <w:szCs w:val="16"/>
                <w:lang w:val="en-US"/>
              </w:rPr>
              <w:t xml:space="preserve"> the indicator</w:t>
            </w:r>
          </w:p>
        </w:tc>
      </w:tr>
    </w:tbl>
    <w:p w:rsidR="002508AB" w:rsidRPr="007B0CE3" w:rsidRDefault="002508AB" w:rsidP="002508AB">
      <w:pPr>
        <w:autoSpaceDE w:val="0"/>
        <w:autoSpaceDN w:val="0"/>
        <w:adjustRightInd w:val="0"/>
        <w:spacing w:after="0" w:line="240" w:lineRule="auto"/>
        <w:rPr>
          <w:rFonts w:ascii="Calibri" w:hAnsi="Calibri" w:cs="Calibri"/>
          <w:sz w:val="24"/>
          <w:szCs w:val="24"/>
          <w:lang w:val="en-US"/>
        </w:rPr>
      </w:pPr>
    </w:p>
    <w:tbl>
      <w:tblPr>
        <w:tblW w:w="0" w:type="auto"/>
        <w:tblBorders>
          <w:top w:val="nil"/>
          <w:left w:val="nil"/>
          <w:bottom w:val="nil"/>
          <w:right w:val="nil"/>
        </w:tblBorders>
        <w:tblLayout w:type="fixed"/>
        <w:tblLook w:val="0000" w:firstRow="0" w:lastRow="0" w:firstColumn="0" w:lastColumn="0" w:noHBand="0" w:noVBand="0"/>
      </w:tblPr>
      <w:tblGrid>
        <w:gridCol w:w="3208"/>
        <w:gridCol w:w="3208"/>
        <w:gridCol w:w="3208"/>
      </w:tblGrid>
      <w:tr w:rsidR="007B0CE3" w:rsidRPr="007B0CE3">
        <w:trPr>
          <w:trHeight w:val="768"/>
        </w:trPr>
        <w:tc>
          <w:tcPr>
            <w:tcW w:w="320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p>
        </w:tc>
        <w:tc>
          <w:tcPr>
            <w:tcW w:w="320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p>
        </w:tc>
        <w:tc>
          <w:tcPr>
            <w:tcW w:w="3208" w:type="dxa"/>
          </w:tcPr>
          <w:p w:rsidR="002508AB" w:rsidRPr="007B0CE3" w:rsidRDefault="002508AB" w:rsidP="002508AB">
            <w:pPr>
              <w:autoSpaceDE w:val="0"/>
              <w:autoSpaceDN w:val="0"/>
              <w:adjustRightInd w:val="0"/>
              <w:spacing w:after="0" w:line="240" w:lineRule="auto"/>
              <w:rPr>
                <w:rFonts w:ascii="Calibri" w:hAnsi="Calibri" w:cs="Calibri"/>
                <w:sz w:val="16"/>
                <w:szCs w:val="16"/>
                <w:lang w:val="en-US"/>
              </w:rPr>
            </w:pPr>
          </w:p>
        </w:tc>
      </w:tr>
    </w:tbl>
    <w:p w:rsidR="00ED450E" w:rsidRPr="007B0CE3" w:rsidRDefault="00ED450E">
      <w:pPr>
        <w:rPr>
          <w:lang w:val="en-US"/>
        </w:rPr>
      </w:pPr>
    </w:p>
    <w:sectPr w:rsidR="00ED450E" w:rsidRPr="007B0CE3" w:rsidSect="002508AB">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93873"/>
    <w:multiLevelType w:val="multilevel"/>
    <w:tmpl w:val="A77CCE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Times New Roman" w:eastAsia="Times New Roman" w:hAnsi="Times New Roman" w:cs="Times New Roman" w:hint="default"/>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92407E2"/>
    <w:multiLevelType w:val="hybridMultilevel"/>
    <w:tmpl w:val="1E2E2458"/>
    <w:lvl w:ilvl="0" w:tplc="2AF07F5A">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33B1E0D"/>
    <w:multiLevelType w:val="multilevel"/>
    <w:tmpl w:val="3DC6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8AB"/>
    <w:rsid w:val="000D39C9"/>
    <w:rsid w:val="001731C4"/>
    <w:rsid w:val="00202A5F"/>
    <w:rsid w:val="00237BA2"/>
    <w:rsid w:val="002508AB"/>
    <w:rsid w:val="0029289D"/>
    <w:rsid w:val="0069228E"/>
    <w:rsid w:val="007B0CE3"/>
    <w:rsid w:val="007C6887"/>
    <w:rsid w:val="009347E6"/>
    <w:rsid w:val="009804B3"/>
    <w:rsid w:val="00C81A7B"/>
    <w:rsid w:val="00E902B7"/>
    <w:rsid w:val="00ED45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2508AB"/>
    <w:pPr>
      <w:autoSpaceDE w:val="0"/>
      <w:autoSpaceDN w:val="0"/>
      <w:adjustRightInd w:val="0"/>
      <w:spacing w:after="0" w:line="240" w:lineRule="auto"/>
    </w:pPr>
    <w:rPr>
      <w:rFonts w:ascii="Calibri" w:hAnsi="Calibri" w:cs="Calibri"/>
      <w:color w:val="000000"/>
      <w:sz w:val="24"/>
      <w:szCs w:val="24"/>
    </w:rPr>
  </w:style>
  <w:style w:type="character" w:styleId="Fett">
    <w:name w:val="Strong"/>
    <w:basedOn w:val="Absatz-Standardschriftart"/>
    <w:uiPriority w:val="22"/>
    <w:qFormat/>
    <w:rsid w:val="002508AB"/>
    <w:rPr>
      <w:b/>
      <w:bCs/>
    </w:rPr>
  </w:style>
  <w:style w:type="paragraph" w:styleId="StandardWeb">
    <w:name w:val="Normal (Web)"/>
    <w:basedOn w:val="Standard"/>
    <w:uiPriority w:val="99"/>
    <w:semiHidden/>
    <w:unhideWhenUsed/>
    <w:rsid w:val="002508A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2508AB"/>
    <w:pPr>
      <w:ind w:left="720"/>
      <w:contextualSpacing/>
    </w:pPr>
  </w:style>
  <w:style w:type="paragraph" w:styleId="Sprechblasentext">
    <w:name w:val="Balloon Text"/>
    <w:basedOn w:val="Standard"/>
    <w:link w:val="SprechblasentextZchn"/>
    <w:uiPriority w:val="99"/>
    <w:semiHidden/>
    <w:unhideWhenUsed/>
    <w:rsid w:val="009347E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47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2508AB"/>
    <w:pPr>
      <w:autoSpaceDE w:val="0"/>
      <w:autoSpaceDN w:val="0"/>
      <w:adjustRightInd w:val="0"/>
      <w:spacing w:after="0" w:line="240" w:lineRule="auto"/>
    </w:pPr>
    <w:rPr>
      <w:rFonts w:ascii="Calibri" w:hAnsi="Calibri" w:cs="Calibri"/>
      <w:color w:val="000000"/>
      <w:sz w:val="24"/>
      <w:szCs w:val="24"/>
    </w:rPr>
  </w:style>
  <w:style w:type="character" w:styleId="Fett">
    <w:name w:val="Strong"/>
    <w:basedOn w:val="Absatz-Standardschriftart"/>
    <w:uiPriority w:val="22"/>
    <w:qFormat/>
    <w:rsid w:val="002508AB"/>
    <w:rPr>
      <w:b/>
      <w:bCs/>
    </w:rPr>
  </w:style>
  <w:style w:type="paragraph" w:styleId="StandardWeb">
    <w:name w:val="Normal (Web)"/>
    <w:basedOn w:val="Standard"/>
    <w:uiPriority w:val="99"/>
    <w:semiHidden/>
    <w:unhideWhenUsed/>
    <w:rsid w:val="002508A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2508AB"/>
    <w:pPr>
      <w:ind w:left="720"/>
      <w:contextualSpacing/>
    </w:pPr>
  </w:style>
  <w:style w:type="paragraph" w:styleId="Sprechblasentext">
    <w:name w:val="Balloon Text"/>
    <w:basedOn w:val="Standard"/>
    <w:link w:val="SprechblasentextZchn"/>
    <w:uiPriority w:val="99"/>
    <w:semiHidden/>
    <w:unhideWhenUsed/>
    <w:rsid w:val="009347E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47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446">
      <w:bodyDiv w:val="1"/>
      <w:marLeft w:val="0"/>
      <w:marRight w:val="0"/>
      <w:marTop w:val="0"/>
      <w:marBottom w:val="0"/>
      <w:divBdr>
        <w:top w:val="none" w:sz="0" w:space="0" w:color="auto"/>
        <w:left w:val="none" w:sz="0" w:space="0" w:color="auto"/>
        <w:bottom w:val="none" w:sz="0" w:space="0" w:color="auto"/>
        <w:right w:val="none" w:sz="0" w:space="0" w:color="auto"/>
      </w:divBdr>
    </w:div>
    <w:div w:id="373580080">
      <w:bodyDiv w:val="1"/>
      <w:marLeft w:val="0"/>
      <w:marRight w:val="0"/>
      <w:marTop w:val="0"/>
      <w:marBottom w:val="0"/>
      <w:divBdr>
        <w:top w:val="none" w:sz="0" w:space="0" w:color="auto"/>
        <w:left w:val="none" w:sz="0" w:space="0" w:color="auto"/>
        <w:bottom w:val="none" w:sz="0" w:space="0" w:color="auto"/>
        <w:right w:val="none" w:sz="0" w:space="0" w:color="auto"/>
      </w:divBdr>
      <w:divsChild>
        <w:div w:id="227498618">
          <w:marLeft w:val="0"/>
          <w:marRight w:val="0"/>
          <w:marTop w:val="0"/>
          <w:marBottom w:val="0"/>
          <w:divBdr>
            <w:top w:val="none" w:sz="0" w:space="0" w:color="auto"/>
            <w:left w:val="none" w:sz="0" w:space="0" w:color="auto"/>
            <w:bottom w:val="none" w:sz="0" w:space="0" w:color="auto"/>
            <w:right w:val="none" w:sz="0" w:space="0" w:color="auto"/>
          </w:divBdr>
          <w:divsChild>
            <w:div w:id="1532301760">
              <w:marLeft w:val="0"/>
              <w:marRight w:val="0"/>
              <w:marTop w:val="0"/>
              <w:marBottom w:val="0"/>
              <w:divBdr>
                <w:top w:val="none" w:sz="0" w:space="0" w:color="auto"/>
                <w:left w:val="none" w:sz="0" w:space="0" w:color="auto"/>
                <w:bottom w:val="none" w:sz="0" w:space="0" w:color="auto"/>
                <w:right w:val="none" w:sz="0" w:space="0" w:color="auto"/>
              </w:divBdr>
              <w:divsChild>
                <w:div w:id="65152038">
                  <w:marLeft w:val="0"/>
                  <w:marRight w:val="0"/>
                  <w:marTop w:val="0"/>
                  <w:marBottom w:val="0"/>
                  <w:divBdr>
                    <w:top w:val="none" w:sz="0" w:space="0" w:color="auto"/>
                    <w:left w:val="none" w:sz="0" w:space="0" w:color="auto"/>
                    <w:bottom w:val="none" w:sz="0" w:space="0" w:color="auto"/>
                    <w:right w:val="none" w:sz="0" w:space="0" w:color="auto"/>
                  </w:divBdr>
                  <w:divsChild>
                    <w:div w:id="574818998">
                      <w:marLeft w:val="0"/>
                      <w:marRight w:val="0"/>
                      <w:marTop w:val="0"/>
                      <w:marBottom w:val="0"/>
                      <w:divBdr>
                        <w:top w:val="none" w:sz="0" w:space="0" w:color="auto"/>
                        <w:left w:val="none" w:sz="0" w:space="0" w:color="auto"/>
                        <w:bottom w:val="none" w:sz="0" w:space="0" w:color="auto"/>
                        <w:right w:val="none" w:sz="0" w:space="0" w:color="auto"/>
                      </w:divBdr>
                      <w:divsChild>
                        <w:div w:id="196812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318409">
      <w:bodyDiv w:val="1"/>
      <w:marLeft w:val="0"/>
      <w:marRight w:val="0"/>
      <w:marTop w:val="0"/>
      <w:marBottom w:val="0"/>
      <w:divBdr>
        <w:top w:val="none" w:sz="0" w:space="0" w:color="auto"/>
        <w:left w:val="none" w:sz="0" w:space="0" w:color="auto"/>
        <w:bottom w:val="none" w:sz="0" w:space="0" w:color="auto"/>
        <w:right w:val="none" w:sz="0" w:space="0" w:color="auto"/>
      </w:divBdr>
      <w:divsChild>
        <w:div w:id="581065345">
          <w:marLeft w:val="0"/>
          <w:marRight w:val="0"/>
          <w:marTop w:val="0"/>
          <w:marBottom w:val="0"/>
          <w:divBdr>
            <w:top w:val="none" w:sz="0" w:space="0" w:color="auto"/>
            <w:left w:val="none" w:sz="0" w:space="0" w:color="auto"/>
            <w:bottom w:val="none" w:sz="0" w:space="0" w:color="auto"/>
            <w:right w:val="none" w:sz="0" w:space="0" w:color="auto"/>
          </w:divBdr>
          <w:divsChild>
            <w:div w:id="1149904516">
              <w:marLeft w:val="0"/>
              <w:marRight w:val="0"/>
              <w:marTop w:val="0"/>
              <w:marBottom w:val="0"/>
              <w:divBdr>
                <w:top w:val="none" w:sz="0" w:space="0" w:color="auto"/>
                <w:left w:val="none" w:sz="0" w:space="0" w:color="auto"/>
                <w:bottom w:val="none" w:sz="0" w:space="0" w:color="auto"/>
                <w:right w:val="none" w:sz="0" w:space="0" w:color="auto"/>
              </w:divBdr>
              <w:divsChild>
                <w:div w:id="628097222">
                  <w:marLeft w:val="0"/>
                  <w:marRight w:val="0"/>
                  <w:marTop w:val="0"/>
                  <w:marBottom w:val="0"/>
                  <w:divBdr>
                    <w:top w:val="none" w:sz="0" w:space="0" w:color="auto"/>
                    <w:left w:val="none" w:sz="0" w:space="0" w:color="auto"/>
                    <w:bottom w:val="none" w:sz="0" w:space="0" w:color="auto"/>
                    <w:right w:val="none" w:sz="0" w:space="0" w:color="auto"/>
                  </w:divBdr>
                  <w:divsChild>
                    <w:div w:id="554319447">
                      <w:marLeft w:val="0"/>
                      <w:marRight w:val="0"/>
                      <w:marTop w:val="0"/>
                      <w:marBottom w:val="0"/>
                      <w:divBdr>
                        <w:top w:val="none" w:sz="0" w:space="0" w:color="auto"/>
                        <w:left w:val="none" w:sz="0" w:space="0" w:color="auto"/>
                        <w:bottom w:val="none" w:sz="0" w:space="0" w:color="auto"/>
                        <w:right w:val="none" w:sz="0" w:space="0" w:color="auto"/>
                      </w:divBdr>
                      <w:divsChild>
                        <w:div w:id="36491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687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1556</Words>
  <Characters>9805</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GIZ GmbH</Company>
  <LinksUpToDate>false</LinksUpToDate>
  <CharactersWithSpaces>11339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Ehlers, Cornelia GIZ</dc:creator>
  <cp:lastModifiedBy>Ehlers, Cornelia GIZ</cp:lastModifiedBy>
  <cp:revision>2</cp:revision>
  <dcterms:created xsi:type="dcterms:W3CDTF">2017-05-12T10:41:00Z</dcterms:created>
  <dcterms:modified xsi:type="dcterms:W3CDTF">2017-05-12T10:41:00Z</dcterms:modified>
</cp:coreProperties>
</file>