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A3" w:rsidRPr="000145A3" w:rsidRDefault="000145A3" w:rsidP="000145A3">
      <w:pPr>
        <w:rPr>
          <w:rFonts w:cs="Arial"/>
          <w:b/>
          <w:bCs/>
          <w:noProof/>
          <w:color w:val="B43131"/>
          <w:sz w:val="36"/>
          <w:szCs w:val="36"/>
          <w:lang w:val="es-ES" w:eastAsia="zh-CN"/>
        </w:rPr>
      </w:pPr>
      <w:r w:rsidRPr="000145A3">
        <w:rPr>
          <w:rFonts w:cs="Arial"/>
          <w:b/>
          <w:bCs/>
          <w:noProof/>
          <w:color w:val="B43131"/>
          <w:sz w:val="36"/>
          <w:szCs w:val="36"/>
          <w:lang w:val="es-ES" w:eastAsia="zh-CN"/>
        </w:rPr>
        <w:t xml:space="preserve">Convocatoria de ejemplos y buenas prácticas sobre la utilización y aplicación de las Directrices voluntarias en apoyo de la realización progresiva del derecho a una alimentación adecuada en el contexto de la seguridad alimentaria nacional </w:t>
      </w:r>
    </w:p>
    <w:p w:rsidR="00237F89" w:rsidRPr="00B62277" w:rsidRDefault="00237F89" w:rsidP="00237F89">
      <w:pPr>
        <w:pStyle w:val="ListParagraph"/>
        <w:numPr>
          <w:ilvl w:val="0"/>
          <w:numId w:val="0"/>
        </w:numPr>
        <w:spacing w:after="0"/>
        <w:jc w:val="left"/>
        <w:rPr>
          <w:b/>
          <w:sz w:val="36"/>
          <w:szCs w:val="36"/>
          <w:lang w:val="es-ES"/>
        </w:rPr>
      </w:pPr>
    </w:p>
    <w:p w:rsidR="00237F89" w:rsidRDefault="00237F89" w:rsidP="003D18CF">
      <w:pPr>
        <w:pStyle w:val="ListParagraph"/>
        <w:numPr>
          <w:ilvl w:val="0"/>
          <w:numId w:val="0"/>
        </w:numPr>
        <w:spacing w:after="0"/>
        <w:jc w:val="left"/>
        <w:rPr>
          <w:b/>
          <w:lang w:val="es-ES"/>
        </w:rPr>
      </w:pPr>
      <w:r w:rsidRPr="00BF458C">
        <w:rPr>
          <w:rFonts w:cs="Arial"/>
          <w:b/>
          <w:bCs/>
          <w:noProof/>
          <w:color w:val="B43131"/>
          <w:sz w:val="36"/>
          <w:szCs w:val="36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7CEBD7D8" wp14:editId="7EC463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69670" cy="1169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logo_sp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CD">
        <w:rPr>
          <w:b/>
          <w:sz w:val="28"/>
          <w:szCs w:val="28"/>
          <w:lang w:val="es-ES"/>
        </w:rPr>
        <w:t xml:space="preserve">Plantilla para </w:t>
      </w:r>
      <w:r w:rsidR="000145A3">
        <w:rPr>
          <w:b/>
          <w:sz w:val="28"/>
          <w:szCs w:val="28"/>
          <w:lang w:val="es-ES"/>
        </w:rPr>
        <w:t>los formularios</w:t>
      </w:r>
      <w:r w:rsidRPr="00B62277">
        <w:rPr>
          <w:b/>
          <w:sz w:val="36"/>
          <w:szCs w:val="36"/>
          <w:lang w:val="es-ES"/>
        </w:rPr>
        <w:t xml:space="preserve"> </w:t>
      </w:r>
      <w:r w:rsidRPr="00B62277">
        <w:rPr>
          <w:b/>
          <w:lang w:val="es-ES"/>
        </w:rPr>
        <w:t>(</w:t>
      </w:r>
      <w:r w:rsidR="000145A3">
        <w:rPr>
          <w:b/>
          <w:lang w:val="es-ES"/>
        </w:rPr>
        <w:t>longitud total aproximada: 1 000 palabras</w:t>
      </w:r>
      <w:r w:rsidRPr="00B62277">
        <w:rPr>
          <w:b/>
          <w:lang w:val="es-ES"/>
        </w:rPr>
        <w:t>)</w:t>
      </w:r>
    </w:p>
    <w:p w:rsidR="000145A3" w:rsidRDefault="000145A3" w:rsidP="003D18CF">
      <w:pPr>
        <w:pStyle w:val="ListParagraph"/>
        <w:numPr>
          <w:ilvl w:val="0"/>
          <w:numId w:val="0"/>
        </w:numPr>
        <w:spacing w:after="0"/>
        <w:jc w:val="left"/>
        <w:rPr>
          <w:b/>
          <w:lang w:val="es-ES"/>
        </w:rPr>
      </w:pPr>
    </w:p>
    <w:p w:rsidR="00C020F6" w:rsidRDefault="008D1DD9" w:rsidP="00C020F6">
      <w:pPr>
        <w:shd w:val="clear" w:color="auto" w:fill="FFFFFF"/>
        <w:spacing w:after="0"/>
        <w:rPr>
          <w:rFonts w:asciiTheme="majorHAnsi" w:hAnsiTheme="majorHAnsi"/>
          <w:color w:val="000000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Utilice este </w:t>
      </w:r>
      <w:r w:rsidRPr="000145A3">
        <w:rPr>
          <w:rFonts w:asciiTheme="majorHAnsi" w:hAnsiTheme="majorHAnsi"/>
          <w:sz w:val="22"/>
          <w:lang w:val="es-ES"/>
        </w:rPr>
        <w:t xml:space="preserve">formulario de presentación </w:t>
      </w:r>
      <w:r w:rsidRPr="00CB5D0C">
        <w:rPr>
          <w:rFonts w:asciiTheme="majorHAnsi" w:hAnsiTheme="majorHAnsi"/>
          <w:sz w:val="22"/>
          <w:lang w:val="es-ES"/>
        </w:rPr>
        <w:t xml:space="preserve">para compartir sus </w:t>
      </w:r>
      <w:r w:rsidR="00CB5D0C" w:rsidRPr="00CB5D0C">
        <w:rPr>
          <w:rFonts w:asciiTheme="majorHAnsi" w:hAnsiTheme="majorHAnsi"/>
          <w:sz w:val="22"/>
          <w:lang w:val="es-ES"/>
        </w:rPr>
        <w:t>ejemplos y buenas prácticas sobre la utilización y aplicación de las Directrices voluntarias en apoyo de la realización progresiva del derecho a una alimentación adecuada en el contexto de la seguridad alimentaria nacional</w:t>
      </w:r>
      <w:r w:rsidR="00CB5D0C">
        <w:rPr>
          <w:rFonts w:asciiTheme="majorHAnsi" w:hAnsiTheme="majorHAnsi"/>
          <w:sz w:val="22"/>
          <w:lang w:val="es-ES"/>
        </w:rPr>
        <w:t>.</w:t>
      </w:r>
      <w:r w:rsidR="00CB5D0C" w:rsidRPr="00CB5D0C">
        <w:rPr>
          <w:rFonts w:asciiTheme="majorHAnsi" w:hAnsiTheme="majorHAnsi"/>
          <w:sz w:val="22"/>
          <w:lang w:val="es-ES"/>
        </w:rPr>
        <w:t xml:space="preserve"> </w:t>
      </w:r>
      <w:r w:rsidRPr="00CB5D0C">
        <w:rPr>
          <w:rFonts w:asciiTheme="majorHAnsi" w:hAnsiTheme="majorHAnsi"/>
          <w:sz w:val="22"/>
          <w:lang w:val="es-ES"/>
        </w:rPr>
        <w:t xml:space="preserve">Para obtener los antecedentes y orientación </w:t>
      </w:r>
      <w:r w:rsidR="00502612" w:rsidRPr="00CB5D0C">
        <w:rPr>
          <w:rFonts w:asciiTheme="majorHAnsi" w:hAnsiTheme="majorHAnsi"/>
          <w:sz w:val="22"/>
          <w:lang w:val="es-ES"/>
        </w:rPr>
        <w:t>necesarios</w:t>
      </w:r>
      <w:r w:rsidRPr="008D1DD9">
        <w:rPr>
          <w:rFonts w:asciiTheme="majorHAnsi" w:hAnsiTheme="majorHAnsi"/>
          <w:color w:val="000000"/>
          <w:sz w:val="22"/>
          <w:lang w:val="es-ES"/>
        </w:rPr>
        <w:t xml:space="preserve">, consulte la información en: </w:t>
      </w:r>
    </w:p>
    <w:p w:rsidR="008D1DD9" w:rsidRDefault="0026613D" w:rsidP="00C020F6">
      <w:pPr>
        <w:shd w:val="clear" w:color="auto" w:fill="FFFFFF"/>
        <w:spacing w:after="0"/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</w:pPr>
      <w:hyperlink r:id="rId9" w:history="1">
        <w:r w:rsidR="000145A3" w:rsidRPr="00517758">
          <w:rPr>
            <w:rStyle w:val="Hyperlink"/>
            <w:rFonts w:asciiTheme="majorHAnsi" w:hAnsiTheme="majorHAnsi"/>
            <w:sz w:val="22"/>
            <w:lang w:val="es-ES"/>
          </w:rPr>
          <w:t>http://www.fao.org/fsnforum/es/activities/open-calls/CFS_right_to_food</w:t>
        </w:r>
      </w:hyperlink>
      <w:r w:rsidR="00C020F6" w:rsidRPr="00C020F6"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  <w:t>.</w:t>
      </w:r>
    </w:p>
    <w:p w:rsidR="00C020F6" w:rsidRDefault="00C020F6" w:rsidP="00C020F6">
      <w:pPr>
        <w:shd w:val="clear" w:color="auto" w:fill="FFFFFF"/>
        <w:spacing w:after="0"/>
        <w:rPr>
          <w:rFonts w:asciiTheme="majorHAnsi" w:hAnsiTheme="majorHAnsi"/>
          <w:color w:val="000000"/>
          <w:sz w:val="22"/>
          <w:lang w:val="es-ES"/>
        </w:rPr>
      </w:pPr>
    </w:p>
    <w:p w:rsidR="008D1DD9" w:rsidRDefault="008D1DD9" w:rsidP="008D1DD9">
      <w:pPr>
        <w:shd w:val="clear" w:color="auto" w:fill="FFFFFF"/>
        <w:rPr>
          <w:rStyle w:val="Hyperlink"/>
          <w:rFonts w:asciiTheme="majorHAnsi" w:hAnsiTheme="majorHAnsi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Puede subir el formulario ya completado al sitio del Foro FSN en </w:t>
      </w:r>
      <w:r w:rsidR="0053052F">
        <w:rPr>
          <w:rFonts w:asciiTheme="majorHAnsi" w:hAnsiTheme="majorHAnsi"/>
          <w:color w:val="000000"/>
          <w:sz w:val="22"/>
          <w:lang w:val="es-ES"/>
        </w:rPr>
        <w:t>(</w:t>
      </w:r>
      <w:hyperlink r:id="rId10" w:history="1">
        <w:r w:rsidR="0053052F" w:rsidRPr="008320BF">
          <w:rPr>
            <w:rStyle w:val="Hyperlink"/>
            <w:rFonts w:asciiTheme="majorHAnsi" w:hAnsiTheme="majorHAnsi"/>
            <w:sz w:val="22"/>
            <w:lang w:val="es-ES"/>
          </w:rPr>
          <w:t>www.fao.org/fsnforum/es</w:t>
        </w:r>
      </w:hyperlink>
      <w:r w:rsidR="0053052F" w:rsidRPr="0053052F">
        <w:rPr>
          <w:rStyle w:val="Hyperlink"/>
          <w:rFonts w:asciiTheme="majorHAnsi" w:hAnsiTheme="majorHAnsi"/>
          <w:color w:val="auto"/>
          <w:sz w:val="22"/>
          <w:u w:val="none"/>
          <w:lang w:val="es-ES"/>
        </w:rPr>
        <w:t>)</w:t>
      </w:r>
      <w:r w:rsidR="0053052F">
        <w:rPr>
          <w:rStyle w:val="Hyperlink"/>
          <w:rFonts w:asciiTheme="majorHAnsi" w:hAnsiTheme="majorHAnsi"/>
          <w:sz w:val="22"/>
          <w:u w:val="none"/>
          <w:lang w:val="es-ES"/>
        </w:rPr>
        <w:t xml:space="preserve"> </w:t>
      </w:r>
      <w:r w:rsidRPr="008D1DD9">
        <w:rPr>
          <w:rFonts w:asciiTheme="majorHAnsi" w:hAnsiTheme="majorHAnsi"/>
          <w:color w:val="000000"/>
          <w:sz w:val="22"/>
          <w:lang w:val="es-ES"/>
        </w:rPr>
        <w:t xml:space="preserve">o enviarlo por correo electrónico a </w:t>
      </w:r>
      <w:hyperlink r:id="rId11" w:history="1">
        <w:r w:rsidRPr="008D1DD9">
          <w:rPr>
            <w:rStyle w:val="Hyperlink"/>
            <w:rFonts w:asciiTheme="majorHAnsi" w:hAnsiTheme="majorHAnsi"/>
            <w:sz w:val="22"/>
            <w:lang w:val="es-ES"/>
          </w:rPr>
          <w:t>fsn-moderator@fao.org</w:t>
        </w:r>
      </w:hyperlink>
    </w:p>
    <w:p w:rsidR="000145A3" w:rsidRDefault="000145A3" w:rsidP="008D1DD9">
      <w:pPr>
        <w:shd w:val="clear" w:color="auto" w:fill="FFFFFF"/>
        <w:rPr>
          <w:rStyle w:val="Hyperlink"/>
          <w:rFonts w:asciiTheme="majorHAnsi" w:hAnsiTheme="majorHAnsi"/>
          <w:sz w:val="22"/>
          <w:lang w:val="es-ES"/>
        </w:rPr>
      </w:pPr>
    </w:p>
    <w:p w:rsidR="000145A3" w:rsidRDefault="000145A3" w:rsidP="008D1DD9">
      <w:pPr>
        <w:shd w:val="clear" w:color="auto" w:fill="FFFFFF"/>
        <w:rPr>
          <w:rStyle w:val="Hyperlink"/>
          <w:rFonts w:asciiTheme="majorHAnsi" w:hAnsiTheme="majorHAnsi"/>
          <w:sz w:val="22"/>
          <w:lang w:val="es-ES"/>
        </w:rPr>
      </w:pPr>
    </w:p>
    <w:p w:rsidR="000145A3" w:rsidRPr="004C49F3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Título de la experiencia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991BE4">
        <w:trPr>
          <w:trHeight w:val="2118"/>
        </w:trPr>
        <w:tc>
          <w:tcPr>
            <w:tcW w:w="9776" w:type="dxa"/>
          </w:tcPr>
          <w:p w:rsidR="005A1023" w:rsidRPr="00196391" w:rsidRDefault="00542972" w:rsidP="00542972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Ley</w:t>
            </w:r>
            <w:r w:rsidR="005A1023" w:rsidRPr="00196391">
              <w:rPr>
                <w:szCs w:val="24"/>
                <w:lang w:val="es-ES"/>
              </w:rPr>
              <w:t xml:space="preserve"> N°622</w:t>
            </w:r>
            <w:r w:rsidR="00B53996" w:rsidRPr="00196391">
              <w:rPr>
                <w:szCs w:val="24"/>
                <w:lang w:val="es-ES"/>
              </w:rPr>
              <w:t xml:space="preserve"> de Alimentación Escolar en el marco de la Soberanía alimentaria y la economía </w:t>
            </w:r>
            <w:r w:rsidR="00991BE4" w:rsidRPr="00196391">
              <w:rPr>
                <w:szCs w:val="24"/>
                <w:lang w:val="es-ES"/>
              </w:rPr>
              <w:t>plural.</w:t>
            </w:r>
          </w:p>
        </w:tc>
      </w:tr>
    </w:tbl>
    <w:p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:rsidR="00C020F6" w:rsidRDefault="00C020F6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Cobertura geográfica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476070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ejemplo: </w:t>
      </w:r>
      <w:r w:rsidRPr="00476070">
        <w:rPr>
          <w:szCs w:val="24"/>
          <w:u w:val="single"/>
          <w:lang w:val="es-ES"/>
        </w:rPr>
        <w:t>nacional</w:t>
      </w:r>
      <w:r>
        <w:rPr>
          <w:szCs w:val="24"/>
          <w:lang w:val="es-ES"/>
        </w:rPr>
        <w:t xml:space="preserve">; </w:t>
      </w:r>
      <w:r w:rsidRPr="00476070">
        <w:rPr>
          <w:szCs w:val="24"/>
          <w:u w:val="single"/>
          <w:lang w:val="es-ES"/>
        </w:rPr>
        <w:t>regional</w:t>
      </w:r>
      <w:r w:rsidRPr="00476070">
        <w:rPr>
          <w:szCs w:val="24"/>
          <w:lang w:val="es-ES"/>
        </w:rPr>
        <w:t xml:space="preserve"> si </w:t>
      </w:r>
      <w:r>
        <w:rPr>
          <w:szCs w:val="24"/>
          <w:lang w:val="es-ES"/>
        </w:rPr>
        <w:t xml:space="preserve">hace referencia a </w:t>
      </w:r>
      <w:r w:rsidRPr="00476070">
        <w:rPr>
          <w:szCs w:val="24"/>
          <w:lang w:val="es-ES"/>
        </w:rPr>
        <w:t>v</w:t>
      </w:r>
      <w:r>
        <w:rPr>
          <w:szCs w:val="24"/>
          <w:lang w:val="es-ES"/>
        </w:rPr>
        <w:t>arios países de la misma región;</w:t>
      </w:r>
      <w:r w:rsidRPr="00476070">
        <w:rPr>
          <w:szCs w:val="24"/>
          <w:lang w:val="es-ES"/>
        </w:rPr>
        <w:t xml:space="preserve"> o </w:t>
      </w:r>
      <w:r w:rsidRPr="00476070">
        <w:rPr>
          <w:szCs w:val="24"/>
          <w:u w:val="single"/>
          <w:lang w:val="es-ES"/>
        </w:rPr>
        <w:t>mundial</w:t>
      </w:r>
      <w:r>
        <w:rPr>
          <w:szCs w:val="24"/>
          <w:lang w:val="es-ES"/>
        </w:rPr>
        <w:t xml:space="preserve"> </w:t>
      </w:r>
      <w:r w:rsidRPr="00476070">
        <w:rPr>
          <w:szCs w:val="24"/>
          <w:lang w:val="es-ES"/>
        </w:rPr>
        <w:t xml:space="preserve">si </w:t>
      </w:r>
      <w:r>
        <w:rPr>
          <w:szCs w:val="24"/>
          <w:lang w:val="es-ES"/>
        </w:rPr>
        <w:t xml:space="preserve">se trata de </w:t>
      </w:r>
      <w:r w:rsidRPr="00476070">
        <w:rPr>
          <w:szCs w:val="24"/>
          <w:lang w:val="es-ES"/>
        </w:rPr>
        <w:t>varios países en más de una región)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542972" w:rsidTr="004D316F">
        <w:tc>
          <w:tcPr>
            <w:tcW w:w="9776" w:type="dxa"/>
          </w:tcPr>
          <w:p w:rsidR="000145A3" w:rsidRPr="00D51A2A" w:rsidRDefault="00542972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Nacional </w:t>
            </w:r>
          </w:p>
          <w:p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476070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476070">
        <w:rPr>
          <w:b/>
          <w:szCs w:val="24"/>
          <w:lang w:val="es-ES"/>
        </w:rPr>
        <w:t xml:space="preserve">País(es)/Región(es) </w:t>
      </w:r>
      <w:r>
        <w:rPr>
          <w:b/>
          <w:szCs w:val="24"/>
          <w:lang w:val="es-ES"/>
        </w:rPr>
        <w:t>incluidos en la</w:t>
      </w:r>
      <w:r w:rsidRPr="00476070">
        <w:rPr>
          <w:b/>
          <w:szCs w:val="24"/>
          <w:lang w:val="es-ES"/>
        </w:rPr>
        <w:t xml:space="preserve"> experiencia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(Por ejemplo:</w:t>
      </w:r>
      <w:r w:rsidRPr="00D51A2A">
        <w:rPr>
          <w:szCs w:val="24"/>
          <w:lang w:val="es-ES"/>
        </w:rPr>
        <w:t xml:space="preserve"> Kenya, Tanzania </w:t>
      </w:r>
      <w:r>
        <w:rPr>
          <w:szCs w:val="24"/>
          <w:lang w:val="es-ES"/>
        </w:rPr>
        <w:t>y</w:t>
      </w:r>
      <w:r w:rsidRPr="00D51A2A">
        <w:rPr>
          <w:szCs w:val="24"/>
          <w:lang w:val="es-ES"/>
        </w:rPr>
        <w:t xml:space="preserve"> Malawi)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502612" w:rsidTr="004D316F">
        <w:tc>
          <w:tcPr>
            <w:tcW w:w="9776" w:type="dxa"/>
          </w:tcPr>
          <w:p w:rsidR="000145A3" w:rsidRPr="005A1023" w:rsidRDefault="00542972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Estado Plurinacional de Bolivia </w:t>
            </w:r>
          </w:p>
          <w:p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Su afiliación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(G</w:t>
      </w:r>
      <w:r w:rsidR="005A1023">
        <w:rPr>
          <w:szCs w:val="24"/>
          <w:lang w:val="es-ES"/>
        </w:rPr>
        <w:t>obierno, O</w:t>
      </w:r>
      <w:r w:rsidRPr="00476070">
        <w:rPr>
          <w:szCs w:val="24"/>
          <w:lang w:val="es-ES"/>
        </w:rPr>
        <w:t xml:space="preserve">rganización </w:t>
      </w:r>
      <w:r>
        <w:rPr>
          <w:szCs w:val="24"/>
          <w:lang w:val="es-ES"/>
        </w:rPr>
        <w:t>de las Naciones Unidas, sociedad civil/</w:t>
      </w:r>
      <w:r w:rsidRPr="00476070">
        <w:rPr>
          <w:szCs w:val="24"/>
          <w:lang w:val="es-ES"/>
        </w:rPr>
        <w:t xml:space="preserve">ONG, sector privado, </w:t>
      </w:r>
      <w:r>
        <w:rPr>
          <w:szCs w:val="24"/>
          <w:lang w:val="es-ES"/>
        </w:rPr>
        <w:t>mundo académico</w:t>
      </w:r>
      <w:r w:rsidRPr="00476070">
        <w:rPr>
          <w:szCs w:val="24"/>
          <w:lang w:val="es-ES"/>
        </w:rPr>
        <w:t>, donante u otros)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502612" w:rsidTr="004D316F">
        <w:tc>
          <w:tcPr>
            <w:tcW w:w="9776" w:type="dxa"/>
          </w:tcPr>
          <w:p w:rsidR="000145A3" w:rsidRPr="005A1023" w:rsidRDefault="005A1023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5A1023">
              <w:rPr>
                <w:szCs w:val="24"/>
                <w:lang w:val="es-ES"/>
              </w:rPr>
              <w:t>Gobierno</w:t>
            </w:r>
          </w:p>
          <w:p w:rsidR="000145A3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:rsidR="005A1023" w:rsidRPr="00D51A2A" w:rsidRDefault="005A102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ED252E">
        <w:rPr>
          <w:b/>
          <w:szCs w:val="24"/>
          <w:lang w:val="es-ES"/>
        </w:rPr>
        <w:t>¿Cómo se ha</w:t>
      </w:r>
      <w:r>
        <w:rPr>
          <w:b/>
          <w:szCs w:val="24"/>
          <w:lang w:val="es-ES"/>
        </w:rPr>
        <w:t>n</w:t>
      </w:r>
      <w:r w:rsidRPr="00ED252E">
        <w:rPr>
          <w:b/>
          <w:szCs w:val="24"/>
          <w:lang w:val="es-ES"/>
        </w:rPr>
        <w:t xml:space="preserve"> utilizado </w:t>
      </w:r>
      <w:r>
        <w:rPr>
          <w:b/>
          <w:szCs w:val="24"/>
          <w:lang w:val="es-ES"/>
        </w:rPr>
        <w:t>las</w:t>
      </w:r>
      <w:r w:rsidRPr="00ED252E">
        <w:rPr>
          <w:b/>
          <w:szCs w:val="24"/>
          <w:lang w:val="es-ES"/>
        </w:rPr>
        <w:t xml:space="preserve"> VGRtF en su contexto? ¿Qué directrices específicas de la</w:t>
      </w:r>
      <w:r>
        <w:rPr>
          <w:b/>
          <w:szCs w:val="24"/>
          <w:lang w:val="es-ES"/>
        </w:rPr>
        <w:t>s</w:t>
      </w:r>
      <w:r w:rsidRPr="00ED252E">
        <w:rPr>
          <w:b/>
          <w:szCs w:val="24"/>
          <w:lang w:val="es-ES"/>
        </w:rPr>
        <w:t xml:space="preserve"> VGRtF fueron más relevantes para su experiencia?</w:t>
      </w:r>
    </w:p>
    <w:p w:rsidR="000145A3" w:rsidRPr="004C49F3" w:rsidRDefault="000145A3" w:rsidP="000145A3">
      <w:pPr>
        <w:spacing w:after="80" w:line="20" w:lineRule="atLeast"/>
        <w:rPr>
          <w:szCs w:val="24"/>
          <w:lang w:val="es-ES"/>
        </w:rPr>
      </w:pPr>
      <w:r w:rsidRPr="00FA20A3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ej: las </w:t>
      </w:r>
      <w:r w:rsidRPr="00FA20A3">
        <w:rPr>
          <w:szCs w:val="24"/>
          <w:lang w:val="es-ES"/>
        </w:rPr>
        <w:t xml:space="preserve">VGRtF se han utilizado para desarrollar el marco </w:t>
      </w:r>
      <w:r>
        <w:rPr>
          <w:szCs w:val="24"/>
          <w:lang w:val="es-ES"/>
        </w:rPr>
        <w:t>jurídico sobre el D</w:t>
      </w:r>
      <w:r w:rsidRPr="00FA20A3">
        <w:rPr>
          <w:szCs w:val="24"/>
          <w:lang w:val="es-ES"/>
        </w:rPr>
        <w:t xml:space="preserve">erecho a la alimentación, </w:t>
      </w:r>
      <w:r>
        <w:rPr>
          <w:szCs w:val="24"/>
          <w:lang w:val="es-ES"/>
        </w:rPr>
        <w:t>en particular</w:t>
      </w:r>
      <w:r w:rsidRPr="00FA20A3">
        <w:rPr>
          <w:szCs w:val="24"/>
          <w:lang w:val="es-ES"/>
        </w:rPr>
        <w:t xml:space="preserve"> la Directriz 7)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B53996" w:rsidRDefault="00542972" w:rsidP="001E7047">
            <w:pPr>
              <w:spacing w:after="80" w:line="20" w:lineRule="atLeast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Directriz Voluntaria</w:t>
            </w:r>
            <w:r w:rsidR="00B53996">
              <w:rPr>
                <w:rFonts w:ascii="Times New Roman" w:hAnsi="Times New Roman"/>
                <w:szCs w:val="24"/>
                <w:lang w:val="es-ES"/>
              </w:rPr>
              <w:t xml:space="preserve"> 2 (políticas de desarrollo económico</w:t>
            </w:r>
            <w:r w:rsidR="00B53996" w:rsidRPr="00B53996">
              <w:rPr>
                <w:rFonts w:ascii="Times New Roman" w:hAnsi="Times New Roman"/>
                <w:szCs w:val="24"/>
                <w:lang w:val="es-ES"/>
              </w:rPr>
              <w:t>)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 : </w:t>
            </w:r>
            <w:r w:rsidR="000E1570">
              <w:rPr>
                <w:rFonts w:ascii="Times New Roman" w:hAnsi="Times New Roman"/>
                <w:szCs w:val="24"/>
                <w:lang w:val="es-ES"/>
              </w:rPr>
              <w:t>La L</w:t>
            </w:r>
            <w:r w:rsidR="00B53996">
              <w:rPr>
                <w:rFonts w:ascii="Times New Roman" w:hAnsi="Times New Roman"/>
                <w:szCs w:val="24"/>
                <w:lang w:val="es-ES"/>
              </w:rPr>
              <w:t xml:space="preserve">ey 622 establece lineamientos para generar programas y políticas públicas </w:t>
            </w:r>
            <w:r w:rsidR="009D3C90">
              <w:rPr>
                <w:rFonts w:ascii="Times New Roman" w:hAnsi="Times New Roman"/>
                <w:szCs w:val="24"/>
                <w:lang w:val="es-ES"/>
              </w:rPr>
              <w:t xml:space="preserve">que fomenten </w:t>
            </w:r>
            <w:r w:rsidR="00B53996">
              <w:rPr>
                <w:rFonts w:ascii="Times New Roman" w:hAnsi="Times New Roman"/>
                <w:szCs w:val="24"/>
                <w:lang w:val="es-ES"/>
              </w:rPr>
              <w:t xml:space="preserve">un desarrollo económico con enfoque de seguridad </w:t>
            </w:r>
            <w:r w:rsidR="009D3C90">
              <w:rPr>
                <w:rFonts w:ascii="Times New Roman" w:hAnsi="Times New Roman"/>
                <w:szCs w:val="24"/>
                <w:lang w:val="es-ES"/>
              </w:rPr>
              <w:t xml:space="preserve">y soberanía </w:t>
            </w:r>
            <w:r w:rsidR="00B53996">
              <w:rPr>
                <w:rFonts w:ascii="Times New Roman" w:hAnsi="Times New Roman"/>
                <w:szCs w:val="24"/>
                <w:lang w:val="es-ES"/>
              </w:rPr>
              <w:t>alimentaria a través de la dinamización de las economías locales, facilitando procesos de contratación a actores de la agricultura familiar en las compras públicas de alimentos, genera</w:t>
            </w:r>
            <w:r w:rsidR="009D3C90">
              <w:rPr>
                <w:rFonts w:ascii="Times New Roman" w:hAnsi="Times New Roman"/>
                <w:szCs w:val="24"/>
                <w:lang w:val="es-ES"/>
              </w:rPr>
              <w:t>ndo</w:t>
            </w:r>
            <w:r w:rsidR="00B53996">
              <w:rPr>
                <w:rFonts w:ascii="Times New Roman" w:hAnsi="Times New Roman"/>
                <w:szCs w:val="24"/>
                <w:lang w:val="es-ES"/>
              </w:rPr>
              <w:t xml:space="preserve"> ingresos </w:t>
            </w:r>
            <w:r w:rsidR="009D3C90">
              <w:rPr>
                <w:rFonts w:ascii="Times New Roman" w:hAnsi="Times New Roman"/>
                <w:szCs w:val="24"/>
                <w:lang w:val="es-ES"/>
              </w:rPr>
              <w:t xml:space="preserve">y empleos </w:t>
            </w:r>
            <w:r w:rsidR="00B53996">
              <w:rPr>
                <w:rFonts w:ascii="Times New Roman" w:hAnsi="Times New Roman"/>
                <w:szCs w:val="24"/>
                <w:lang w:val="es-ES"/>
              </w:rPr>
              <w:t xml:space="preserve">más estables para productores, garantizando productos de calidad y culturalmente adecuados para </w:t>
            </w:r>
            <w:r w:rsidR="009D3C90">
              <w:rPr>
                <w:rFonts w:ascii="Times New Roman" w:hAnsi="Times New Roman"/>
                <w:szCs w:val="24"/>
                <w:lang w:val="es-ES"/>
              </w:rPr>
              <w:t xml:space="preserve">la población, sobre todo sectores vulnerables. </w:t>
            </w:r>
          </w:p>
          <w:p w:rsidR="00991BE4" w:rsidRDefault="00991BE4" w:rsidP="001E7047">
            <w:pPr>
              <w:spacing w:after="80" w:line="20" w:lineRule="atLeast"/>
              <w:rPr>
                <w:rFonts w:ascii="Times New Roman" w:hAnsi="Times New Roman"/>
                <w:szCs w:val="24"/>
                <w:lang w:val="es-ES"/>
              </w:rPr>
            </w:pPr>
          </w:p>
          <w:p w:rsidR="00452F1E" w:rsidRDefault="00B53996" w:rsidP="001E7047">
            <w:pPr>
              <w:spacing w:after="80" w:line="20" w:lineRule="atLeast"/>
              <w:rPr>
                <w:rFonts w:ascii="Times New Roman" w:hAnsi="Times New Roman"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>Directriz Voluntaria 7 (Marco Jurídico)</w:t>
            </w:r>
            <w:r w:rsidR="000E1570">
              <w:rPr>
                <w:rFonts w:ascii="Times New Roman" w:hAnsi="Times New Roman"/>
                <w:szCs w:val="24"/>
                <w:lang w:val="es-ES"/>
              </w:rPr>
              <w:t xml:space="preserve">: Apoyo al  desarrollo de </w:t>
            </w:r>
            <w:r w:rsidR="009D3C90">
              <w:rPr>
                <w:rFonts w:ascii="Times New Roman" w:hAnsi="Times New Roman"/>
                <w:szCs w:val="24"/>
                <w:lang w:val="es-ES"/>
              </w:rPr>
              <w:t xml:space="preserve"> una serie </w:t>
            </w:r>
            <w:r w:rsidR="000E1570">
              <w:rPr>
                <w:rFonts w:ascii="Times New Roman" w:hAnsi="Times New Roman"/>
                <w:szCs w:val="24"/>
                <w:lang w:val="es-ES"/>
              </w:rPr>
              <w:t xml:space="preserve">de normativa vinculada a la consecución del DHAA, </w:t>
            </w:r>
            <w:r w:rsidR="00452F1E">
              <w:rPr>
                <w:rFonts w:ascii="Times New Roman" w:hAnsi="Times New Roman"/>
                <w:szCs w:val="24"/>
                <w:lang w:val="es-ES"/>
              </w:rPr>
              <w:t xml:space="preserve">entre los mismos se encuentra </w:t>
            </w:r>
            <w:r w:rsidR="00991BE4">
              <w:rPr>
                <w:rFonts w:ascii="Times New Roman" w:hAnsi="Times New Roman"/>
                <w:szCs w:val="24"/>
                <w:lang w:val="es-ES"/>
              </w:rPr>
              <w:t xml:space="preserve">la Ley </w:t>
            </w:r>
            <w:r w:rsidR="00452F1E">
              <w:rPr>
                <w:rFonts w:ascii="Times New Roman" w:hAnsi="Times New Roman"/>
                <w:szCs w:val="24"/>
                <w:lang w:val="es-ES"/>
              </w:rPr>
              <w:t xml:space="preserve">144 de revolución productiva, Ley 3525 de regulación y promoción de la producción agropecuaria y forestal no maderable ecológica, Ley 338 de Organizaciones Económicas Campesinas, indígena originarias (OECAs) y de Organizaciones Económicas Comunitarias (OECOMs), la ley 453 de los derechos de usuarios y usuarias y de las consumidoras y consumidores, Ley </w:t>
            </w:r>
            <w:r w:rsidR="00991BE4">
              <w:rPr>
                <w:rFonts w:ascii="Times New Roman" w:hAnsi="Times New Roman"/>
                <w:szCs w:val="24"/>
                <w:lang w:val="es-ES"/>
              </w:rPr>
              <w:t>622 de alimentación Complementaria Escolar</w:t>
            </w:r>
            <w:r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452F1E">
              <w:rPr>
                <w:rFonts w:ascii="Times New Roman" w:hAnsi="Times New Roman"/>
                <w:szCs w:val="24"/>
                <w:lang w:val="es-ES"/>
              </w:rPr>
              <w:lastRenderedPageBreak/>
              <w:t xml:space="preserve">en el marco de la soberanía alimentaria y la economía plural, entre otras con la intención de </w:t>
            </w:r>
            <w:r w:rsidR="00007B4F">
              <w:rPr>
                <w:rFonts w:ascii="Times New Roman" w:hAnsi="Times New Roman"/>
                <w:szCs w:val="24"/>
                <w:lang w:val="es-ES"/>
              </w:rPr>
              <w:t xml:space="preserve">lograr la realización progresiva del derecho a una alimentación adecuada. </w:t>
            </w:r>
          </w:p>
          <w:p w:rsidR="00452F1E" w:rsidRDefault="00452F1E" w:rsidP="001E7047">
            <w:pPr>
              <w:spacing w:after="80" w:line="20" w:lineRule="atLeast"/>
              <w:rPr>
                <w:rFonts w:ascii="Times New Roman" w:hAnsi="Times New Roman"/>
                <w:szCs w:val="24"/>
                <w:lang w:val="es-ES"/>
              </w:rPr>
            </w:pPr>
          </w:p>
          <w:p w:rsidR="00991BE4" w:rsidRPr="00D51A2A" w:rsidRDefault="00007B4F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rFonts w:ascii="Times New Roman" w:hAnsi="Times New Roman"/>
                <w:szCs w:val="24"/>
                <w:lang w:val="es-ES"/>
              </w:rPr>
              <w:t xml:space="preserve">En el caso concreto de la ley 622, la realización progresiva está ligada a la economía plural, soberanía alimentaria, alimentación culturalmente adecuada (sobre todo a sectores vulnerables como niños, niñas y adolescentes en etapa escolar), fomento a la agricultura familiar y cuidado del medio ambiente. 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Breve descripción de la experiencia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603125">
        <w:trPr>
          <w:trHeight w:val="2533"/>
        </w:trPr>
        <w:tc>
          <w:tcPr>
            <w:tcW w:w="9776" w:type="dxa"/>
          </w:tcPr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El Frente Parlamentario por la Soberanía Alimentaria para Vivir Bien de Bolivia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(FPH) se conformó el año 2012, mediante Res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oluciones Camarales tanto de la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Cámara de Senadores como de la de Diputados con 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lo cual la Asamblea Legislativa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Plurinacional le dotó de institucionalidad como espa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cio plural y multipartidario de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debate, intercambio y reflexión en torno a la elabo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ración, implementación y mejora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de instrumentos normativos y políticas públicas en ma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teria de soberanía alimentaria,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que garanticen el cumplimiento progresivo del Derecho Humano a la Alimentación</w:t>
            </w: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Adecuada del país.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La actual Constitución Política del Estado (CPE)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 en su Artículo 16, reconoce la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alimentación adecuada como un derecho fundam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ental y establece la obligación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del Estado de garantizar la seguridad alimentar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ia a través de una alimentación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sana, adecuada y suficiente para la població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n boliviana. En esta búsqueda y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desde su conformación, el Frente Parlamentario po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r la Soberanía Alimentaria para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Vivir Bien de Bolivia ha incidido en la alimentación escolar al considerarla como</w:t>
            </w: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una potente estrategia para atender uno de lo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s sectores más vulnerables a la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inseguridad alimentaria: la población en edad escolar.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Bajo este panorama, se estableció como una impera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nte necesidad sensibilizar a la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sociedad civil respecto de la aplicación de marcos 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normativos y políticas públicas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oportunas para que los niños y niñas de nuestro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 territorio vean garantizado su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derecho a la alimentación. Paralelamente se fom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entó la institucionalidad en el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combate a la inseguridad alimentaria promoviendo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 el desarrollo normativo lo que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se tradujo en el impulso de la </w:t>
            </w:r>
            <w:r w:rsidRPr="00B53840">
              <w:rPr>
                <w:rFonts w:ascii="Times New Roman" w:eastAsia="Calibri" w:hAnsi="Times New Roman"/>
                <w:b/>
                <w:bCs/>
                <w:i/>
                <w:iCs/>
                <w:szCs w:val="24"/>
                <w:lang w:val="es-ES"/>
              </w:rPr>
              <w:t>Ley Nº 622 de Alimentación Escolar en el marco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 </w:t>
            </w:r>
            <w:r w:rsidRPr="00B53840">
              <w:rPr>
                <w:rFonts w:ascii="Times New Roman" w:eastAsia="Calibri" w:hAnsi="Times New Roman"/>
                <w:b/>
                <w:bCs/>
                <w:i/>
                <w:iCs/>
                <w:szCs w:val="24"/>
                <w:lang w:val="es-ES"/>
              </w:rPr>
              <w:t>de la Soberanía Alimentaria y la Economía Plural.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Cumpliendo con su mandato, el FPH se propuso par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ticipar, a la vez de involucrar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 los distintos órganos de gobiernos responsab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les de la seguridad alimentaria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y nutricional, para impulsar la aprobación d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e una ley que garantice que los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niños y niñas que asisten a las unidades educativas del país cuenten c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on una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Alimentación Complementaria Escolar nutritiva 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>y de calidad, lo cual tiene una f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uerte implicancia desde el ámbito agroalimenta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rio y social, basándose en tres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importantes lineamientos:</w:t>
            </w: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>
              <w:rPr>
                <w:rFonts w:ascii="Times New Roman" w:eastAsia="Calibri" w:hAnsi="Times New Roman"/>
                <w:szCs w:val="24"/>
                <w:lang w:val="es-ES"/>
              </w:rPr>
              <w:t>●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Mejora de la nutrición</w:t>
            </w: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>
              <w:rPr>
                <w:rFonts w:ascii="Times New Roman" w:eastAsia="Calibri" w:hAnsi="Times New Roman"/>
                <w:szCs w:val="24"/>
                <w:lang w:val="es-ES"/>
              </w:rPr>
              <w:t>●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 Mejora del rendimiento escolar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>
              <w:rPr>
                <w:rFonts w:ascii="Times New Roman" w:eastAsia="Calibri" w:hAnsi="Times New Roman"/>
                <w:szCs w:val="24"/>
                <w:lang w:val="es-ES"/>
              </w:rPr>
              <w:t>●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Fomento de la economía social comun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itaria a través de la compra de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alimentos de proveedores locales, dedic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>ados a la agricultura familiar, p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ara la alimentación escolar.</w:t>
            </w: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  <w:p w:rsidR="00B53840" w:rsidRP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La aprobación de esta norma, </w:t>
            </w:r>
            <w:r w:rsidRPr="00B53840">
              <w:rPr>
                <w:rFonts w:ascii="Times New Roman" w:eastAsia="Calibri" w:hAnsi="Times New Roman"/>
                <w:b/>
                <w:bCs/>
                <w:i/>
                <w:iCs/>
                <w:szCs w:val="24"/>
                <w:lang w:val="es-ES"/>
              </w:rPr>
              <w:t>Ley Nº 622 de Alimentación Escolar en el ámbito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b/>
                <w:bCs/>
                <w:i/>
                <w:iCs/>
                <w:szCs w:val="24"/>
                <w:lang w:val="es-ES"/>
              </w:rPr>
              <w:lastRenderedPageBreak/>
              <w:t>de la Soberanía Alimentaria y la Economía Plural</w:t>
            </w:r>
            <w:r w:rsidRPr="00B53840">
              <w:rPr>
                <w:rFonts w:ascii="Times New Roman" w:eastAsia="Calibri" w:hAnsi="Times New Roman"/>
                <w:b/>
                <w:bCs/>
                <w:szCs w:val="24"/>
                <w:lang w:val="es-ES"/>
              </w:rPr>
              <w:t xml:space="preserve">, 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del 29 de diciembre del 2014,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se convierte en una de los grandes hitos para el FP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H de Bolivia y se constituye en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una experiencia que puede ser replicada a nivel d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e la región de América Latina y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el Caribe. 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  <w:p w:rsidR="000145A3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Su aporte radica tanto en el proceso com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o en el resultado alcanzado. Es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así que se distingue la construcción colectiva y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 comprometida de muchos actores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de la sociedad boliviana que no sólo apoyaron con e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l análisis y el fortalecimiento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 xml:space="preserve">de áreas temáticas como la agricultura familiar, 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alimentación escolar, educación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alimentaria, protección social y otras de relevanci</w:t>
            </w: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a; sino que también promovieron </w:t>
            </w:r>
            <w:r w:rsidRPr="00B53840">
              <w:rPr>
                <w:rFonts w:ascii="Times New Roman" w:eastAsia="Calibri" w:hAnsi="Times New Roman"/>
                <w:szCs w:val="24"/>
                <w:lang w:val="es-ES"/>
              </w:rPr>
              <w:t>el fortalecimiento de la capacidad de movilización social en torno a estos temas.</w:t>
            </w:r>
          </w:p>
          <w:p w:rsidR="00B53840" w:rsidRDefault="00B53840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  <w:r>
              <w:rPr>
                <w:rFonts w:ascii="Times New Roman" w:eastAsia="Calibri" w:hAnsi="Times New Roman"/>
                <w:szCs w:val="24"/>
                <w:lang w:val="es-ES"/>
              </w:rPr>
              <w:t xml:space="preserve">Cabe destacar el rol de la UMSA, universidad miembro del Observatorio de Derecho a la Alimentación de ALC, ya que durante el año 2014, con apoyo de la FAO, realizó un estudio legal que </w:t>
            </w:r>
            <w:r w:rsidR="0015779C">
              <w:rPr>
                <w:rFonts w:ascii="Times New Roman" w:eastAsia="Calibri" w:hAnsi="Times New Roman"/>
                <w:szCs w:val="24"/>
                <w:lang w:val="es-ES"/>
              </w:rPr>
              <w:t>analizo los cuellos de botella que no permitían la aprobación del Proyecto de Ley.</w:t>
            </w:r>
          </w:p>
          <w:p w:rsidR="0015779C" w:rsidRPr="00B53840" w:rsidRDefault="0015779C" w:rsidP="00B538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¿Quién participó en la experiencia?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FA20A3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favor enumere todos los agentes relevantes involucrados. Por ejemplo: </w:t>
      </w:r>
      <w:r w:rsidRPr="00476070">
        <w:rPr>
          <w:szCs w:val="24"/>
          <w:lang w:val="es-ES"/>
        </w:rPr>
        <w:t xml:space="preserve">organización </w:t>
      </w:r>
      <w:r>
        <w:rPr>
          <w:szCs w:val="24"/>
          <w:lang w:val="es-ES"/>
        </w:rPr>
        <w:t>de las Naciones Unidas, sociedad civil/</w:t>
      </w:r>
      <w:r w:rsidRPr="00476070">
        <w:rPr>
          <w:szCs w:val="24"/>
          <w:lang w:val="es-ES"/>
        </w:rPr>
        <w:t xml:space="preserve">ONG, sector privado, </w:t>
      </w:r>
      <w:r>
        <w:rPr>
          <w:szCs w:val="24"/>
          <w:lang w:val="es-ES"/>
        </w:rPr>
        <w:t>mundo académico</w:t>
      </w:r>
      <w:r w:rsidRPr="00476070">
        <w:rPr>
          <w:szCs w:val="24"/>
          <w:lang w:val="es-ES"/>
        </w:rPr>
        <w:t>, donante u otros</w:t>
      </w:r>
      <w:r w:rsidRPr="00FA20A3">
        <w:rPr>
          <w:szCs w:val="24"/>
          <w:lang w:val="es-ES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0145A3" w:rsidRDefault="000E1570" w:rsidP="00196391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Ministerio de Autonomías</w:t>
            </w:r>
            <w:r w:rsidR="00196391" w:rsidRPr="00196391">
              <w:rPr>
                <w:szCs w:val="24"/>
                <w:lang w:val="es-ES"/>
              </w:rPr>
              <w:t xml:space="preserve">, </w:t>
            </w:r>
            <w:r>
              <w:rPr>
                <w:szCs w:val="24"/>
                <w:lang w:val="es-ES"/>
              </w:rPr>
              <w:t xml:space="preserve">Ministerio de Finanzas, Ministerio de Salud, Ministerio de Agricultura, Ministerio Salud, </w:t>
            </w:r>
            <w:r w:rsidR="00196391" w:rsidRPr="00196391">
              <w:rPr>
                <w:szCs w:val="24"/>
                <w:lang w:val="es-ES"/>
              </w:rPr>
              <w:t>Frente Parlamentar</w:t>
            </w:r>
            <w:r>
              <w:rPr>
                <w:szCs w:val="24"/>
                <w:lang w:val="es-ES"/>
              </w:rPr>
              <w:t>io</w:t>
            </w:r>
            <w:r w:rsidR="00196391" w:rsidRPr="00196391">
              <w:rPr>
                <w:szCs w:val="24"/>
                <w:lang w:val="es-ES"/>
              </w:rPr>
              <w:t xml:space="preserve"> C</w:t>
            </w:r>
            <w:r w:rsidR="00196391">
              <w:rPr>
                <w:szCs w:val="24"/>
                <w:lang w:val="es-ES"/>
              </w:rPr>
              <w:t xml:space="preserve">ontra el Hambre, ODA-ALC, ONGs, organizaciones sociales y civiles. </w:t>
            </w:r>
          </w:p>
          <w:p w:rsidR="00196391" w:rsidRPr="00D51A2A" w:rsidRDefault="00196391" w:rsidP="00196391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36054E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36054E">
        <w:rPr>
          <w:b/>
          <w:szCs w:val="24"/>
          <w:lang w:val="es-ES"/>
        </w:rPr>
        <w:t xml:space="preserve">¿Cómo </w:t>
      </w:r>
      <w:r>
        <w:rPr>
          <w:b/>
          <w:szCs w:val="24"/>
          <w:lang w:val="es-ES"/>
        </w:rPr>
        <w:t xml:space="preserve">participó la población más afectada </w:t>
      </w:r>
      <w:r w:rsidRPr="0036054E">
        <w:rPr>
          <w:b/>
          <w:szCs w:val="24"/>
          <w:lang w:val="es-ES"/>
        </w:rPr>
        <w:t>por la inseguridad alimentaria y la malnutrición?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>(Por ej:</w:t>
      </w:r>
      <w:r w:rsidRPr="0036054E">
        <w:rPr>
          <w:szCs w:val="24"/>
          <w:lang w:val="es-ES"/>
        </w:rPr>
        <w:t xml:space="preserve"> participación de las OSC en toda la </w:t>
      </w:r>
      <w:r>
        <w:rPr>
          <w:szCs w:val="24"/>
          <w:lang w:val="es-ES"/>
        </w:rPr>
        <w:t>capacitación</w:t>
      </w:r>
      <w:r w:rsidRPr="0036054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representando a</w:t>
      </w:r>
      <w:r w:rsidRPr="0036054E">
        <w:rPr>
          <w:szCs w:val="24"/>
          <w:lang w:val="es-ES"/>
        </w:rPr>
        <w:t xml:space="preserve"> los segmentos de la población en situación de inseguridad alimentaria y malnutrición)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0E1570">
        <w:trPr>
          <w:trHeight w:val="1246"/>
        </w:trPr>
        <w:tc>
          <w:tcPr>
            <w:tcW w:w="9776" w:type="dxa"/>
          </w:tcPr>
          <w:p w:rsidR="000145A3" w:rsidRPr="000E1570" w:rsidRDefault="00516365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516365">
              <w:rPr>
                <w:szCs w:val="24"/>
                <w:lang w:val="es-ES"/>
              </w:rPr>
              <w:t>En el caso de la ley 622 se realizaron espacios de socialización c</w:t>
            </w:r>
            <w:r w:rsidR="000E1570">
              <w:rPr>
                <w:szCs w:val="24"/>
                <w:lang w:val="es-ES"/>
              </w:rPr>
              <w:t>on actores de la sociedad civil y ministerios implicados</w:t>
            </w:r>
            <w:r w:rsidRPr="00516365">
              <w:rPr>
                <w:szCs w:val="24"/>
                <w:lang w:val="es-ES"/>
              </w:rPr>
              <w:t xml:space="preserve"> coordinados por el Frente Parlamentario Contra el Hambre y el ODA-ALC. 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b/>
          <w:szCs w:val="24"/>
          <w:lang w:val="es-ES"/>
        </w:rPr>
        <w:t xml:space="preserve">Actividades principales </w:t>
      </w:r>
    </w:p>
    <w:p w:rsidR="000145A3" w:rsidRPr="0036054E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szCs w:val="24"/>
          <w:lang w:val="es-ES"/>
        </w:rPr>
        <w:t>(Por ej:</w:t>
      </w:r>
      <w:r w:rsidRPr="0036054E">
        <w:rPr>
          <w:szCs w:val="24"/>
          <w:lang w:val="es-ES"/>
        </w:rPr>
        <w:t xml:space="preserve"> </w:t>
      </w:r>
      <w:r>
        <w:rPr>
          <w:szCs w:val="24"/>
          <w:lang w:val="es-ES"/>
        </w:rPr>
        <w:t>capacitación</w:t>
      </w:r>
      <w:r w:rsidRPr="0036054E">
        <w:rPr>
          <w:szCs w:val="24"/>
          <w:lang w:val="es-ES"/>
        </w:rPr>
        <w:t xml:space="preserve"> de </w:t>
      </w:r>
      <w:r>
        <w:rPr>
          <w:szCs w:val="24"/>
          <w:lang w:val="es-ES"/>
        </w:rPr>
        <w:t xml:space="preserve">las </w:t>
      </w:r>
      <w:r w:rsidRPr="0036054E">
        <w:rPr>
          <w:szCs w:val="24"/>
          <w:lang w:val="es-ES"/>
        </w:rPr>
        <w:t>OSC, abogados, parlamentarios, gobierno)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0E1570" w:rsidRDefault="000E1570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Estudios legislativos.</w:t>
            </w:r>
          </w:p>
          <w:p w:rsidR="000E1570" w:rsidRDefault="000E1570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Intercambios de experiencias nacionales y regionales. </w:t>
            </w:r>
          </w:p>
          <w:p w:rsidR="000E1570" w:rsidRDefault="000E1570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Talleres de capacitación.</w:t>
            </w:r>
          </w:p>
          <w:p w:rsidR="000145A3" w:rsidRPr="00196391" w:rsidRDefault="000E1570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Talleres de socialización y mejora de la propuesta.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Calendario</w:t>
      </w:r>
    </w:p>
    <w:p w:rsidR="00033185" w:rsidRPr="00033185" w:rsidRDefault="00033185" w:rsidP="00033185">
      <w:pPr>
        <w:shd w:val="clear" w:color="auto" w:fill="FFFFFF"/>
        <w:rPr>
          <w:szCs w:val="24"/>
          <w:lang w:val="es-ES"/>
        </w:rPr>
      </w:pPr>
      <w:r w:rsidRPr="00033185">
        <w:rPr>
          <w:szCs w:val="24"/>
          <w:lang w:val="es-ES"/>
        </w:rPr>
        <w:t>(Indique por favor la fecha de inicio y la fecha de finalización/o si está en curso)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542972" w:rsidTr="004D316F">
        <w:tc>
          <w:tcPr>
            <w:tcW w:w="9776" w:type="dxa"/>
          </w:tcPr>
          <w:p w:rsidR="000145A3" w:rsidRPr="00516365" w:rsidRDefault="000E1570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 xml:space="preserve">2014 </w:t>
            </w:r>
            <w:r w:rsidR="00516365" w:rsidRPr="00516365">
              <w:rPr>
                <w:szCs w:val="24"/>
                <w:lang w:val="es-ES"/>
              </w:rPr>
              <w:t xml:space="preserve"> 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obtenidos/</w:t>
      </w:r>
      <w:r w:rsidRPr="00BE3AE6">
        <w:rPr>
          <w:b/>
          <w:szCs w:val="24"/>
          <w:lang w:val="es-ES"/>
        </w:rPr>
        <w:t xml:space="preserve">esperados a </w:t>
      </w:r>
      <w:r w:rsidRPr="00BE3AE6">
        <w:rPr>
          <w:b/>
          <w:szCs w:val="24"/>
          <w:u w:val="single"/>
          <w:lang w:val="es-ES"/>
        </w:rPr>
        <w:t>corto plazo</w:t>
      </w:r>
      <w:r w:rsidRPr="00BE3AE6">
        <w:rPr>
          <w:b/>
          <w:szCs w:val="24"/>
          <w:lang w:val="es-ES"/>
        </w:rPr>
        <w:t xml:space="preserve">, </w:t>
      </w:r>
      <w:r>
        <w:rPr>
          <w:b/>
          <w:szCs w:val="24"/>
          <w:lang w:val="es-ES"/>
        </w:rPr>
        <w:t>facilitando datos cuantitativos si es posible</w:t>
      </w:r>
      <w:r w:rsidRPr="00BE3AE6">
        <w:rPr>
          <w:b/>
          <w:szCs w:val="24"/>
          <w:lang w:val="es-ES"/>
        </w:rPr>
        <w:t xml:space="preserve"> (estimación del número de personas que </w:t>
      </w:r>
      <w:r>
        <w:rPr>
          <w:b/>
          <w:szCs w:val="24"/>
          <w:lang w:val="es-ES"/>
        </w:rPr>
        <w:t>se han visto o se verán afectadas</w:t>
      </w:r>
      <w:r w:rsidRPr="00BE3AE6">
        <w:rPr>
          <w:b/>
          <w:szCs w:val="24"/>
          <w:lang w:val="es-ES"/>
        </w:rPr>
        <w:t>)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favor indique el </w:t>
      </w:r>
      <w:r w:rsidRPr="00702F6B">
        <w:rPr>
          <w:szCs w:val="24"/>
          <w:lang w:val="es-ES"/>
        </w:rPr>
        <w:t>número de personas que han particip</w:t>
      </w:r>
      <w:r>
        <w:rPr>
          <w:szCs w:val="24"/>
          <w:lang w:val="es-ES"/>
        </w:rPr>
        <w:t xml:space="preserve">ado directamente en actividades. Por ej: </w:t>
      </w:r>
      <w:r w:rsidRPr="00702F6B">
        <w:rPr>
          <w:szCs w:val="24"/>
          <w:lang w:val="es-ES"/>
        </w:rPr>
        <w:t>6 sesiones de capacitación en las que participa</w:t>
      </w:r>
      <w:r>
        <w:rPr>
          <w:szCs w:val="24"/>
          <w:lang w:val="es-ES"/>
        </w:rPr>
        <w:t>ro</w:t>
      </w:r>
      <w:r w:rsidRPr="00702F6B">
        <w:rPr>
          <w:szCs w:val="24"/>
          <w:lang w:val="es-ES"/>
        </w:rPr>
        <w:t>n 250 personas)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0145A3" w:rsidRPr="00A75C68" w:rsidRDefault="00A75C68" w:rsidP="00A75C68">
            <w:pPr>
              <w:spacing w:after="80" w:line="20" w:lineRule="atLeast"/>
              <w:rPr>
                <w:szCs w:val="24"/>
                <w:lang w:val="es-ES"/>
              </w:rPr>
            </w:pPr>
            <w:r w:rsidRPr="00A75C68">
              <w:rPr>
                <w:szCs w:val="24"/>
                <w:lang w:val="es-ES"/>
              </w:rPr>
              <w:t xml:space="preserve">Apropiación de los marcos legales en los gobiernos subnacionales (departamental y </w:t>
            </w:r>
            <w:r w:rsidR="00223A25" w:rsidRPr="00A75C68">
              <w:rPr>
                <w:szCs w:val="24"/>
                <w:lang w:val="es-ES"/>
              </w:rPr>
              <w:t>mu</w:t>
            </w:r>
            <w:r w:rsidR="00223A25">
              <w:rPr>
                <w:szCs w:val="24"/>
                <w:lang w:val="es-ES"/>
              </w:rPr>
              <w:t>ni</w:t>
            </w:r>
            <w:r w:rsidR="00223A25" w:rsidRPr="00A75C68">
              <w:rPr>
                <w:szCs w:val="24"/>
                <w:lang w:val="es-ES"/>
              </w:rPr>
              <w:t>cipal</w:t>
            </w:r>
            <w:r w:rsidRPr="00A75C68">
              <w:rPr>
                <w:szCs w:val="24"/>
                <w:lang w:val="es-ES"/>
              </w:rPr>
              <w:t xml:space="preserve">) para la territorialización de los mismos </w:t>
            </w:r>
            <w:r>
              <w:rPr>
                <w:szCs w:val="24"/>
                <w:lang w:val="es-ES"/>
              </w:rPr>
              <w:t xml:space="preserve">el políticas, programas, planes, proyectos, para </w:t>
            </w:r>
            <w:r w:rsidRPr="00A75C68">
              <w:rPr>
                <w:szCs w:val="24"/>
                <w:lang w:val="es-ES"/>
              </w:rPr>
              <w:t>el beneficio de sus poblaciones</w:t>
            </w:r>
            <w:r>
              <w:rPr>
                <w:szCs w:val="24"/>
                <w:lang w:val="es-ES"/>
              </w:rPr>
              <w:t>.</w:t>
            </w:r>
          </w:p>
        </w:tc>
      </w:tr>
    </w:tbl>
    <w:p w:rsidR="000145A3" w:rsidRDefault="000145A3" w:rsidP="000145A3">
      <w:pPr>
        <w:spacing w:after="80" w:line="20" w:lineRule="atLeast"/>
        <w:rPr>
          <w:b/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obtenidos/</w:t>
      </w:r>
      <w:r w:rsidRPr="00BE3AE6">
        <w:rPr>
          <w:b/>
          <w:szCs w:val="24"/>
          <w:lang w:val="es-ES"/>
        </w:rPr>
        <w:t xml:space="preserve">esperados a </w:t>
      </w:r>
      <w:r>
        <w:rPr>
          <w:b/>
          <w:szCs w:val="24"/>
          <w:u w:val="single"/>
          <w:lang w:val="es-ES"/>
        </w:rPr>
        <w:t>medio-largo</w:t>
      </w:r>
      <w:r w:rsidRPr="00BE3AE6">
        <w:rPr>
          <w:b/>
          <w:szCs w:val="24"/>
          <w:u w:val="single"/>
          <w:lang w:val="es-ES"/>
        </w:rPr>
        <w:t xml:space="preserve"> plazo</w:t>
      </w:r>
      <w:r w:rsidRPr="00BE3AE6">
        <w:rPr>
          <w:b/>
          <w:szCs w:val="24"/>
          <w:lang w:val="es-ES"/>
        </w:rPr>
        <w:t xml:space="preserve">, </w:t>
      </w:r>
      <w:r>
        <w:rPr>
          <w:b/>
          <w:szCs w:val="24"/>
          <w:lang w:val="es-ES"/>
        </w:rPr>
        <w:t>facilitando datos cuantitativos si es posible</w:t>
      </w:r>
      <w:r w:rsidRPr="00BE3AE6">
        <w:rPr>
          <w:b/>
          <w:szCs w:val="24"/>
          <w:lang w:val="es-ES"/>
        </w:rPr>
        <w:t xml:space="preserve"> (estimación del número de personas que </w:t>
      </w:r>
      <w:r>
        <w:rPr>
          <w:b/>
          <w:szCs w:val="24"/>
          <w:lang w:val="es-ES"/>
        </w:rPr>
        <w:t>se han visto o se verán afectadas</w:t>
      </w:r>
      <w:r w:rsidRPr="00BE3AE6">
        <w:rPr>
          <w:b/>
          <w:szCs w:val="24"/>
          <w:lang w:val="es-ES"/>
        </w:rPr>
        <w:t>)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>
        <w:rPr>
          <w:szCs w:val="24"/>
          <w:lang w:val="es-ES"/>
        </w:rPr>
        <w:t xml:space="preserve">(Por favor indique </w:t>
      </w:r>
      <w:r w:rsidRPr="00702F6B">
        <w:rPr>
          <w:szCs w:val="24"/>
          <w:lang w:val="es-ES"/>
        </w:rPr>
        <w:t xml:space="preserve">el número de personas que </w:t>
      </w:r>
      <w:r>
        <w:rPr>
          <w:szCs w:val="24"/>
          <w:lang w:val="es-ES"/>
        </w:rPr>
        <w:t xml:space="preserve">se han visto indirectamente afectadas por las actividades o que previsiblemente lo harán. Por ej: capacitación que supuso la redacción de </w:t>
      </w:r>
      <w:r w:rsidRPr="00702F6B">
        <w:rPr>
          <w:szCs w:val="24"/>
          <w:lang w:val="es-ES"/>
        </w:rPr>
        <w:t xml:space="preserve">un marco legislativo aprobado por el Parlamento y que </w:t>
      </w:r>
      <w:r>
        <w:rPr>
          <w:szCs w:val="24"/>
          <w:lang w:val="es-ES"/>
        </w:rPr>
        <w:t xml:space="preserve">afectará potencialmente a unos </w:t>
      </w:r>
      <w:r w:rsidRPr="00702F6B">
        <w:rPr>
          <w:szCs w:val="24"/>
          <w:lang w:val="es-ES"/>
        </w:rPr>
        <w:t>5 millones de personas)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A75C68" w:rsidRPr="00A75C68" w:rsidRDefault="00A75C68" w:rsidP="00A75C68">
            <w:pPr>
              <w:spacing w:after="80" w:line="20" w:lineRule="atLeast"/>
              <w:rPr>
                <w:szCs w:val="24"/>
                <w:lang w:val="es-ES"/>
              </w:rPr>
            </w:pPr>
            <w:r w:rsidRPr="00A75C68">
              <w:rPr>
                <w:szCs w:val="24"/>
                <w:lang w:val="es-ES"/>
              </w:rPr>
              <w:t>De manera directa</w:t>
            </w:r>
            <w:r w:rsidR="000E1570">
              <w:rPr>
                <w:szCs w:val="24"/>
                <w:lang w:val="es-ES"/>
              </w:rPr>
              <w:t xml:space="preserve"> aproximadamente 3 millones de niños y niñas</w:t>
            </w:r>
            <w:r w:rsidRPr="00A75C68">
              <w:rPr>
                <w:szCs w:val="24"/>
                <w:lang w:val="es-ES"/>
              </w:rPr>
              <w:t xml:space="preserve"> en etapa escolar, 2.6 millones de agricultores familiares.</w:t>
            </w:r>
          </w:p>
          <w:p w:rsidR="000145A3" w:rsidRPr="00A75C68" w:rsidRDefault="00A75C68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A75C68">
              <w:rPr>
                <w:szCs w:val="24"/>
                <w:lang w:val="es-ES"/>
              </w:rPr>
              <w:t>De manera indirect</w:t>
            </w:r>
            <w:r>
              <w:rPr>
                <w:szCs w:val="24"/>
                <w:lang w:val="es-ES"/>
              </w:rPr>
              <w:t>a</w:t>
            </w:r>
            <w:r w:rsidRPr="00A75C68">
              <w:rPr>
                <w:szCs w:val="24"/>
                <w:lang w:val="es-ES"/>
              </w:rPr>
              <w:t xml:space="preserve"> la población general boliviana. </w:t>
            </w:r>
          </w:p>
          <w:p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Resultados obtenidos (cambios más significativos)</w:t>
      </w:r>
    </w:p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  <w:r w:rsidRPr="00702F6B">
        <w:rPr>
          <w:szCs w:val="24"/>
          <w:lang w:val="es-ES"/>
        </w:rPr>
        <w:t>(</w:t>
      </w:r>
      <w:r>
        <w:rPr>
          <w:szCs w:val="24"/>
          <w:lang w:val="es-ES"/>
        </w:rPr>
        <w:t xml:space="preserve">Por favor refleje </w:t>
      </w:r>
      <w:r w:rsidRPr="00702F6B">
        <w:rPr>
          <w:szCs w:val="24"/>
          <w:lang w:val="es-ES"/>
        </w:rPr>
        <w:t xml:space="preserve">cualquier cambio significativo </w:t>
      </w:r>
      <w:r>
        <w:rPr>
          <w:szCs w:val="24"/>
          <w:lang w:val="es-ES"/>
        </w:rPr>
        <w:t>como resultado</w:t>
      </w:r>
      <w:r w:rsidRPr="00702F6B">
        <w:rPr>
          <w:szCs w:val="24"/>
          <w:lang w:val="es-ES"/>
        </w:rPr>
        <w:t xml:space="preserve"> de la</w:t>
      </w:r>
      <w:r>
        <w:rPr>
          <w:szCs w:val="24"/>
          <w:lang w:val="es-ES"/>
        </w:rPr>
        <w:t xml:space="preserve">s actividades. Por ejemplo: </w:t>
      </w:r>
      <w:r w:rsidRPr="00702F6B">
        <w:rPr>
          <w:szCs w:val="24"/>
          <w:lang w:val="es-ES"/>
        </w:rPr>
        <w:t xml:space="preserve">cambio en el comportamiento de las autoridades locales </w:t>
      </w:r>
      <w:r>
        <w:rPr>
          <w:szCs w:val="24"/>
          <w:lang w:val="es-ES"/>
        </w:rPr>
        <w:t>con relación a</w:t>
      </w:r>
      <w:r w:rsidRPr="00702F6B">
        <w:rPr>
          <w:szCs w:val="24"/>
          <w:lang w:val="es-ES"/>
        </w:rPr>
        <w:t xml:space="preserve"> la inclusión de </w:t>
      </w:r>
      <w:r>
        <w:rPr>
          <w:szCs w:val="24"/>
          <w:lang w:val="es-ES"/>
        </w:rPr>
        <w:t>las partes interesadas</w:t>
      </w:r>
      <w:r w:rsidRPr="00702F6B">
        <w:rPr>
          <w:szCs w:val="24"/>
          <w:lang w:val="es-ES"/>
        </w:rPr>
        <w:t xml:space="preserve"> de la sociedad</w:t>
      </w:r>
      <w:r>
        <w:rPr>
          <w:szCs w:val="24"/>
          <w:lang w:val="es-ES"/>
        </w:rPr>
        <w:t xml:space="preserve"> civil en la toma de decisiones; </w:t>
      </w:r>
      <w:r w:rsidRPr="00702F6B">
        <w:rPr>
          <w:szCs w:val="24"/>
          <w:lang w:val="es-ES"/>
        </w:rPr>
        <w:t xml:space="preserve">participación de grupos vulnerables en la </w:t>
      </w:r>
      <w:r>
        <w:rPr>
          <w:szCs w:val="24"/>
          <w:lang w:val="es-ES"/>
        </w:rPr>
        <w:t>implementación</w:t>
      </w:r>
      <w:r w:rsidRPr="00702F6B">
        <w:rPr>
          <w:szCs w:val="24"/>
          <w:lang w:val="es-ES"/>
        </w:rPr>
        <w:t xml:space="preserve"> de algunos programas</w:t>
      </w:r>
      <w:r>
        <w:rPr>
          <w:szCs w:val="24"/>
          <w:lang w:val="es-ES"/>
        </w:rPr>
        <w:t>; inclusión del Derecho a la a</w:t>
      </w:r>
      <w:r w:rsidRPr="00702F6B">
        <w:rPr>
          <w:szCs w:val="24"/>
          <w:lang w:val="es-ES"/>
        </w:rPr>
        <w:t xml:space="preserve">limentación en </w:t>
      </w:r>
      <w:r>
        <w:rPr>
          <w:szCs w:val="24"/>
          <w:lang w:val="es-ES"/>
        </w:rPr>
        <w:t>los informes del defensor del pueblo o las instituciones de derechos humanos;</w:t>
      </w:r>
      <w:r w:rsidRPr="00702F6B">
        <w:rPr>
          <w:szCs w:val="24"/>
          <w:lang w:val="es-ES"/>
        </w:rPr>
        <w:t xml:space="preserve"> o cambios en el acceso a la justicia, </w:t>
      </w:r>
      <w:r>
        <w:rPr>
          <w:szCs w:val="24"/>
          <w:lang w:val="es-ES"/>
        </w:rPr>
        <w:t xml:space="preserve">la </w:t>
      </w:r>
      <w:r w:rsidRPr="00702F6B">
        <w:rPr>
          <w:szCs w:val="24"/>
          <w:lang w:val="es-ES"/>
        </w:rPr>
        <w:t xml:space="preserve">resolución de conflictos o </w:t>
      </w:r>
      <w:r>
        <w:rPr>
          <w:szCs w:val="24"/>
          <w:lang w:val="es-ES"/>
        </w:rPr>
        <w:t xml:space="preserve">los </w:t>
      </w:r>
      <w:r w:rsidRPr="00702F6B">
        <w:rPr>
          <w:szCs w:val="24"/>
          <w:lang w:val="es-ES"/>
        </w:rPr>
        <w:t>procesos administrativos)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223A25" w:rsidRDefault="00CF16BE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CF16BE">
              <w:rPr>
                <w:szCs w:val="24"/>
                <w:lang w:val="es-ES"/>
              </w:rPr>
              <w:t>La ley 622 facilita los procesos de contratación a pequeños productore</w:t>
            </w:r>
            <w:r w:rsidR="00223A25">
              <w:rPr>
                <w:szCs w:val="24"/>
                <w:lang w:val="es-ES"/>
              </w:rPr>
              <w:t xml:space="preserve">s generando riqueza local, así mismo mejora el estado nutricional y académico de los niños y niñas de las escuelas del país. </w:t>
            </w:r>
          </w:p>
          <w:p w:rsidR="00CF16BE" w:rsidRPr="00CF16BE" w:rsidRDefault="00223A25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R</w:t>
            </w:r>
            <w:r w:rsidR="00CF16BE" w:rsidRPr="00CF16BE">
              <w:rPr>
                <w:szCs w:val="24"/>
                <w:lang w:val="es-ES"/>
              </w:rPr>
              <w:t>especto al NIT, la personería jurídica que complicaban la contratación de los mismos,</w:t>
            </w:r>
          </w:p>
          <w:p w:rsidR="000145A3" w:rsidRPr="00D51A2A" w:rsidRDefault="00223A25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Mayor gobernanza, </w:t>
            </w:r>
            <w:r w:rsidR="00CF16BE" w:rsidRPr="00CF16BE">
              <w:rPr>
                <w:szCs w:val="24"/>
                <w:lang w:val="es-ES"/>
              </w:rPr>
              <w:t>involucrado a los consejos educativos (padres de familia) y estudiantiles (estudiantes), implementa</w:t>
            </w:r>
            <w:bookmarkStart w:id="0" w:name="_GoBack"/>
            <w:bookmarkEnd w:id="0"/>
            <w:r w:rsidR="00CF16BE" w:rsidRPr="00CF16BE">
              <w:rPr>
                <w:szCs w:val="24"/>
                <w:lang w:val="es-ES"/>
              </w:rPr>
              <w:t xml:space="preserve">ción de los COMAN y CODAN. 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¿Cuáles son los agentes catalizadores clave que influyeron en los resultados?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0145A3" w:rsidRPr="000E1570" w:rsidRDefault="00007B4F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196391">
              <w:rPr>
                <w:szCs w:val="24"/>
                <w:lang w:val="es-ES"/>
              </w:rPr>
              <w:t xml:space="preserve">Ministerios, Frente Parlamentarios </w:t>
            </w:r>
            <w:r w:rsidR="00196391" w:rsidRPr="00196391">
              <w:rPr>
                <w:szCs w:val="24"/>
                <w:lang w:val="es-ES"/>
              </w:rPr>
              <w:t>C</w:t>
            </w:r>
            <w:r w:rsidR="00196391">
              <w:rPr>
                <w:szCs w:val="24"/>
                <w:lang w:val="es-ES"/>
              </w:rPr>
              <w:t>ontra el Hambre, ODA-ALC, ONGs.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¿Cuáles son lo</w:t>
      </w:r>
      <w:r w:rsidRPr="00BE3AE6">
        <w:rPr>
          <w:b/>
          <w:szCs w:val="24"/>
          <w:lang w:val="es-ES"/>
        </w:rPr>
        <w:t xml:space="preserve">s principales </w:t>
      </w:r>
      <w:r>
        <w:rPr>
          <w:b/>
          <w:szCs w:val="24"/>
          <w:lang w:val="es-ES"/>
        </w:rPr>
        <w:t>obstáculos/</w:t>
      </w:r>
      <w:r w:rsidRPr="00BE3AE6">
        <w:rPr>
          <w:b/>
          <w:szCs w:val="24"/>
          <w:lang w:val="es-ES"/>
        </w:rPr>
        <w:t>desafíos para l</w:t>
      </w:r>
      <w:r>
        <w:rPr>
          <w:b/>
          <w:szCs w:val="24"/>
          <w:lang w:val="es-ES"/>
        </w:rPr>
        <w:t>a realización del D</w:t>
      </w:r>
      <w:r w:rsidRPr="00BE3AE6">
        <w:rPr>
          <w:b/>
          <w:szCs w:val="24"/>
          <w:lang w:val="es-ES"/>
        </w:rPr>
        <w:t>erecho a la alimentación?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223A25" w:rsidRDefault="00223A25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lastRenderedPageBreak/>
              <w:t xml:space="preserve"> Fiscalización y </w:t>
            </w:r>
            <w:r w:rsidR="00007B4F" w:rsidRPr="00007B4F">
              <w:rPr>
                <w:szCs w:val="24"/>
                <w:lang w:val="es-ES"/>
              </w:rPr>
              <w:t>la territorialización</w:t>
            </w:r>
            <w:r>
              <w:rPr>
                <w:szCs w:val="24"/>
                <w:lang w:val="es-ES"/>
              </w:rPr>
              <w:t xml:space="preserve"> de la normativa.</w:t>
            </w:r>
          </w:p>
          <w:p w:rsidR="000145A3" w:rsidRPr="00007B4F" w:rsidRDefault="00223A25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007B4F">
              <w:rPr>
                <w:szCs w:val="24"/>
                <w:lang w:val="es-ES"/>
              </w:rPr>
              <w:t>Coordinación</w:t>
            </w:r>
            <w:r w:rsidR="00007B4F" w:rsidRPr="00007B4F">
              <w:rPr>
                <w:szCs w:val="24"/>
                <w:lang w:val="es-ES"/>
              </w:rPr>
              <w:t xml:space="preserve"> entre los diferentes niveles de autonomía. </w:t>
            </w:r>
          </w:p>
          <w:p w:rsidR="000145A3" w:rsidRPr="00D51A2A" w:rsidRDefault="000145A3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¿Qué mecanismos se han desarrollado para supervisar la realización del Derecho a la alimentación?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0145A3" w:rsidRPr="00D51A2A" w:rsidRDefault="0007734A" w:rsidP="00366B60">
            <w:pPr>
              <w:spacing w:after="80" w:line="20" w:lineRule="atLeast"/>
              <w:rPr>
                <w:b/>
                <w:szCs w:val="24"/>
                <w:lang w:val="es-ES"/>
              </w:rPr>
            </w:pPr>
            <w:r w:rsidRPr="00196391">
              <w:rPr>
                <w:szCs w:val="24"/>
                <w:lang w:val="es-ES"/>
              </w:rPr>
              <w:t xml:space="preserve">En el caso de Bolivia la creación de instancias </w:t>
            </w:r>
            <w:r w:rsidR="00C92305" w:rsidRPr="00196391">
              <w:rPr>
                <w:szCs w:val="24"/>
                <w:lang w:val="es-ES"/>
              </w:rPr>
              <w:t>específicas</w:t>
            </w:r>
            <w:r w:rsidRPr="00196391">
              <w:rPr>
                <w:szCs w:val="24"/>
                <w:lang w:val="es-ES"/>
              </w:rPr>
              <w:t xml:space="preserve"> como el Comité Técnico del Consejo Nacional de Alimentación y Nutrición (que coordina con 10 ministerios para la gestión de políticas, programas, proyectos), los consejos de</w:t>
            </w:r>
            <w:r w:rsidR="00C92305" w:rsidRPr="00196391">
              <w:rPr>
                <w:szCs w:val="24"/>
                <w:lang w:val="es-ES"/>
              </w:rPr>
              <w:t>partamentales de alimentación y nutrición (CODAN)</w:t>
            </w:r>
            <w:r w:rsidRPr="00196391">
              <w:rPr>
                <w:szCs w:val="24"/>
                <w:lang w:val="es-ES"/>
              </w:rPr>
              <w:t xml:space="preserve">, </w:t>
            </w:r>
            <w:r w:rsidR="00C92305" w:rsidRPr="00196391">
              <w:rPr>
                <w:szCs w:val="24"/>
                <w:lang w:val="es-ES"/>
              </w:rPr>
              <w:t xml:space="preserve">consejos municipales de alimentación y nutrición (COMAN), consejos escolares. </w:t>
            </w:r>
            <w:r w:rsidRPr="00196391">
              <w:rPr>
                <w:szCs w:val="24"/>
                <w:lang w:val="es-ES"/>
              </w:rPr>
              <w:t xml:space="preserve"> </w:t>
            </w:r>
          </w:p>
        </w:tc>
      </w:tr>
    </w:tbl>
    <w:p w:rsidR="000145A3" w:rsidRPr="00D51A2A" w:rsidRDefault="000145A3" w:rsidP="000145A3">
      <w:pPr>
        <w:spacing w:after="80" w:line="20" w:lineRule="atLeast"/>
        <w:rPr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 w:rsidRPr="00BE3AE6">
        <w:rPr>
          <w:b/>
          <w:szCs w:val="24"/>
          <w:lang w:val="es-ES"/>
        </w:rPr>
        <w:t>¿Qué buenas prácticas recomendaría para obtener resultados exitosos?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c>
          <w:tcPr>
            <w:tcW w:w="9776" w:type="dxa"/>
          </w:tcPr>
          <w:p w:rsidR="000145A3" w:rsidRDefault="00CF16BE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223A25">
              <w:rPr>
                <w:szCs w:val="24"/>
                <w:lang w:val="es-ES"/>
              </w:rPr>
              <w:t xml:space="preserve">La generación de información es muy importante, no solo en temas investigativos, sino de indicadores para poder medir avances en la implementación de Programas, Políticas y Proyectos. </w:t>
            </w:r>
          </w:p>
          <w:p w:rsidR="00223A25" w:rsidRDefault="00223A25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Fortalecimiento FPH. </w:t>
            </w:r>
          </w:p>
          <w:p w:rsidR="00223A25" w:rsidRPr="00223A25" w:rsidRDefault="00223A25" w:rsidP="001E7047">
            <w:pPr>
              <w:spacing w:after="80" w:line="20" w:lineRule="atLeast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Fiscalización de la normativa por parte del FPH.</w:t>
            </w:r>
          </w:p>
          <w:p w:rsidR="00366B60" w:rsidRPr="00223A25" w:rsidRDefault="00366B60" w:rsidP="001E7047">
            <w:pPr>
              <w:spacing w:after="80" w:line="20" w:lineRule="atLeast"/>
              <w:rPr>
                <w:szCs w:val="24"/>
                <w:lang w:val="es-ES"/>
              </w:rPr>
            </w:pPr>
            <w:r w:rsidRPr="00223A25">
              <w:rPr>
                <w:szCs w:val="24"/>
                <w:lang w:val="es-ES"/>
              </w:rPr>
              <w:t xml:space="preserve">Fomentar la consolidación de organizaciones de productores para acceso al mercado de compras públicas. </w:t>
            </w:r>
          </w:p>
          <w:p w:rsidR="000145A3" w:rsidRPr="00D51A2A" w:rsidRDefault="00366B60" w:rsidP="00366B60">
            <w:pPr>
              <w:spacing w:after="80" w:line="20" w:lineRule="atLeast"/>
              <w:rPr>
                <w:b/>
                <w:szCs w:val="24"/>
                <w:lang w:val="es-ES"/>
              </w:rPr>
            </w:pPr>
            <w:r w:rsidRPr="00223A25">
              <w:rPr>
                <w:szCs w:val="24"/>
                <w:lang w:val="es-ES"/>
              </w:rPr>
              <w:t>Alianzas con instancias académicas para desarrollar investigaciones.</w:t>
            </w:r>
            <w:r>
              <w:rPr>
                <w:b/>
                <w:szCs w:val="24"/>
                <w:lang w:val="es-ES"/>
              </w:rPr>
              <w:t xml:space="preserve"> </w:t>
            </w:r>
          </w:p>
        </w:tc>
      </w:tr>
    </w:tbl>
    <w:p w:rsidR="000145A3" w:rsidRDefault="000145A3" w:rsidP="000145A3">
      <w:pPr>
        <w:spacing w:after="80" w:line="20" w:lineRule="atLeast"/>
        <w:rPr>
          <w:szCs w:val="24"/>
          <w:lang w:val="es-ES"/>
        </w:rPr>
      </w:pPr>
    </w:p>
    <w:p w:rsidR="000145A3" w:rsidRPr="00D51A2A" w:rsidRDefault="000145A3" w:rsidP="000145A3">
      <w:pPr>
        <w:spacing w:after="80" w:line="20" w:lineRule="atLeast"/>
        <w:rPr>
          <w:b/>
          <w:szCs w:val="24"/>
          <w:lang w:val="es-ES"/>
        </w:rPr>
      </w:pPr>
      <w:r>
        <w:rPr>
          <w:b/>
          <w:szCs w:val="24"/>
          <w:lang w:val="es-ES"/>
        </w:rPr>
        <w:t>Enlace a información adicional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45A3" w:rsidRPr="0026613D" w:rsidTr="004D316F">
        <w:trPr>
          <w:trHeight w:val="718"/>
        </w:trPr>
        <w:tc>
          <w:tcPr>
            <w:tcW w:w="9776" w:type="dxa"/>
          </w:tcPr>
          <w:p w:rsidR="000145A3" w:rsidRPr="00D51A2A" w:rsidRDefault="000E1570" w:rsidP="001E7047">
            <w:pPr>
              <w:spacing w:after="80" w:line="20" w:lineRule="atLeast"/>
              <w:rPr>
                <w:b/>
                <w:szCs w:val="24"/>
                <w:lang w:val="es-ES"/>
              </w:rPr>
            </w:pPr>
            <w:r w:rsidRPr="000E1570">
              <w:rPr>
                <w:b/>
                <w:szCs w:val="24"/>
                <w:lang w:val="es-ES"/>
              </w:rPr>
              <w:t>http://parlamentarioscontraelhambre.org/frentes/nacionales/bolivia/</w:t>
            </w:r>
          </w:p>
        </w:tc>
      </w:tr>
    </w:tbl>
    <w:p w:rsidR="000145A3" w:rsidRPr="008D1DD9" w:rsidRDefault="000145A3" w:rsidP="00C020F6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</w:p>
    <w:sectPr w:rsidR="000145A3" w:rsidRPr="008D1DD9" w:rsidSect="008F2AD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B7" w:rsidRDefault="00B968B7" w:rsidP="00D079C6">
      <w:pPr>
        <w:spacing w:after="0"/>
      </w:pPr>
      <w:r>
        <w:separator/>
      </w:r>
    </w:p>
    <w:p w:rsidR="00B968B7" w:rsidRDefault="00B968B7"/>
  </w:endnote>
  <w:endnote w:type="continuationSeparator" w:id="0">
    <w:p w:rsidR="00B968B7" w:rsidRDefault="00B968B7" w:rsidP="00D079C6">
      <w:pPr>
        <w:spacing w:after="0"/>
      </w:pPr>
      <w:r>
        <w:continuationSeparator/>
      </w:r>
    </w:p>
    <w:p w:rsidR="00B968B7" w:rsidRDefault="00B96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:rsidTr="008F2ADB">
      <w:tc>
        <w:tcPr>
          <w:tcW w:w="9639" w:type="dxa"/>
        </w:tcPr>
        <w:p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:rsidR="00B655B5" w:rsidRDefault="00B655B5" w:rsidP="008E48A2">
    <w:pPr>
      <w:pStyle w:val="Footer"/>
      <w:jc w:val="center"/>
      <w:rPr>
        <w:b/>
        <w:color w:val="C00000"/>
      </w:rPr>
    </w:pPr>
  </w:p>
  <w:p w:rsidR="00B655B5" w:rsidRPr="00A448AD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:rsidTr="00E6703B">
      <w:tc>
        <w:tcPr>
          <w:tcW w:w="9639" w:type="dxa"/>
        </w:tcPr>
        <w:p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:rsidR="00B655B5" w:rsidRDefault="00B655B5" w:rsidP="008F2ADB">
    <w:pPr>
      <w:pStyle w:val="Footer"/>
      <w:jc w:val="center"/>
      <w:rPr>
        <w:b/>
        <w:color w:val="C00000"/>
      </w:rPr>
    </w:pPr>
  </w:p>
  <w:p w:rsidR="00B655B5" w:rsidRPr="00A448AD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B7" w:rsidRDefault="00B968B7" w:rsidP="00D079C6">
      <w:pPr>
        <w:spacing w:after="0"/>
      </w:pPr>
      <w:r>
        <w:separator/>
      </w:r>
    </w:p>
    <w:p w:rsidR="00B968B7" w:rsidRDefault="00B968B7"/>
  </w:footnote>
  <w:footnote w:type="continuationSeparator" w:id="0">
    <w:p w:rsidR="00B968B7" w:rsidRDefault="00B968B7" w:rsidP="00D079C6">
      <w:pPr>
        <w:spacing w:after="0"/>
      </w:pPr>
      <w:r>
        <w:continuationSeparator/>
      </w:r>
    </w:p>
    <w:p w:rsidR="00B968B7" w:rsidRDefault="00B96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26613D" w:rsidTr="00220FC1">
      <w:tc>
        <w:tcPr>
          <w:tcW w:w="249" w:type="pct"/>
        </w:tcPr>
        <w:p w:rsidR="00B655B5" w:rsidRPr="00B01341" w:rsidRDefault="00B655B5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26613D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:rsidR="00B655B5" w:rsidRPr="00FF5702" w:rsidRDefault="000145A3" w:rsidP="00C020F6">
          <w:pPr>
            <w:rPr>
              <w:lang w:val="es-ES_tradnl"/>
            </w:rPr>
          </w:pPr>
          <w:r w:rsidRPr="000145A3">
            <w:rPr>
              <w:b/>
              <w:color w:val="31849B"/>
              <w:sz w:val="20"/>
              <w:szCs w:val="20"/>
              <w:lang w:val="es-ES_tradnl"/>
            </w:rPr>
            <w:t xml:space="preserve">Convocatoria de ejemplos y buenas prácticas sobre la utilización y aplicación de las Directrices voluntarias en apoyo de la realización progresiva del derecho a una alimentación adecuada en el contexto de la seguridad alimentaria nacional </w:t>
          </w:r>
        </w:p>
      </w:tc>
    </w:tr>
  </w:tbl>
  <w:p w:rsidR="00B655B5" w:rsidRPr="00384748" w:rsidRDefault="00B655B5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zh-CN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040" w:rsidRDefault="00906040" w:rsidP="00906040">
    <w:pPr>
      <w:pStyle w:val="Header"/>
      <w:jc w:val="right"/>
      <w:rPr>
        <w:b/>
        <w:color w:val="FFFFFF"/>
      </w:rPr>
    </w:pPr>
  </w:p>
  <w:p w:rsidR="00906040" w:rsidRDefault="00906040" w:rsidP="00906040">
    <w:pPr>
      <w:pStyle w:val="Heading4"/>
    </w:pPr>
    <w:r>
      <w:rPr>
        <w:noProof/>
        <w:lang w:val="en-GB" w:eastAsia="zh-CN"/>
      </w:rPr>
      <w:drawing>
        <wp:inline distT="0" distB="0" distL="0" distR="0" wp14:anchorId="11A268B9" wp14:editId="1E983775">
          <wp:extent cx="6106160" cy="243840"/>
          <wp:effectExtent l="0" t="0" r="0" b="10160"/>
          <wp:docPr id="10" name="Picture 10" descr="ESA:FSN Forum:_DESIGN and WEBSITE Verona:01_DOC template:TOPIC NOTE:img:FSNForum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SNForum_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040" w:rsidRDefault="00906040" w:rsidP="00906040">
    <w:pPr>
      <w:pStyle w:val="Header"/>
      <w:jc w:val="right"/>
      <w:rPr>
        <w:b/>
        <w:color w:val="FFFFFF"/>
      </w:rPr>
    </w:pP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:rsidR="00906040" w:rsidRPr="0043646E" w:rsidRDefault="000145A3" w:rsidP="000145A3">
          <w:pPr>
            <w:pStyle w:val="Heading6"/>
          </w:pPr>
          <w:r>
            <w:t>Formulario de presentación</w:t>
          </w:r>
        </w:p>
      </w:tc>
    </w:tr>
    <w:tr w:rsidR="00906040" w:rsidRPr="001E4B9E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:rsidR="000145A3" w:rsidRPr="001E4B9E" w:rsidRDefault="000145A3" w:rsidP="000145A3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</w:rPr>
            <w:t>02</w:t>
          </w:r>
          <w:r w:rsidR="001E4B9E" w:rsidRPr="001E4B9E">
            <w:rPr>
              <w:rFonts w:asciiTheme="majorHAnsi" w:hAnsiTheme="majorHAnsi"/>
              <w:b/>
            </w:rPr>
            <w:t>.</w:t>
          </w:r>
          <w:r>
            <w:rPr>
              <w:rFonts w:asciiTheme="majorHAnsi" w:hAnsiTheme="majorHAnsi"/>
              <w:b/>
            </w:rPr>
            <w:t>10</w:t>
          </w:r>
          <w:r w:rsidR="001E4B9E">
            <w:rPr>
              <w:rFonts w:asciiTheme="majorHAnsi" w:hAnsiTheme="majorHAnsi"/>
              <w:b/>
            </w:rPr>
            <w:t xml:space="preserve">.2017 – </w:t>
          </w:r>
          <w:r>
            <w:rPr>
              <w:rFonts w:asciiTheme="majorHAnsi" w:hAnsiTheme="majorHAnsi"/>
              <w:b/>
            </w:rPr>
            <w:t>23</w:t>
          </w:r>
          <w:r w:rsidR="001E4B9E">
            <w:rPr>
              <w:rFonts w:asciiTheme="majorHAnsi" w:hAnsiTheme="majorHAnsi"/>
              <w:b/>
            </w:rPr>
            <w:t>.</w:t>
          </w:r>
          <w:r>
            <w:rPr>
              <w:rFonts w:asciiTheme="majorHAnsi" w:hAnsiTheme="majorHAnsi"/>
              <w:b/>
            </w:rPr>
            <w:t>10</w:t>
          </w:r>
          <w:r w:rsidR="001E4B9E">
            <w:rPr>
              <w:rFonts w:asciiTheme="majorHAnsi" w:hAnsiTheme="majorHAnsi"/>
              <w:b/>
            </w:rPr>
            <w:t>.2017</w:t>
          </w:r>
          <w:r w:rsidR="00906040" w:rsidRPr="001E4B9E">
            <w:rPr>
              <w:rFonts w:asciiTheme="majorHAnsi" w:hAnsiTheme="majorHAnsi"/>
              <w:b/>
              <w:color w:val="31849B" w:themeColor="accent5" w:themeShade="BF"/>
            </w:rPr>
            <w:br/>
          </w:r>
          <w:r w:rsidR="00906040">
            <w:rPr>
              <w:noProof/>
              <w:lang w:val="en-GB" w:eastAsia="zh-CN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6040" w:rsidRPr="001E4B9E">
            <w:t xml:space="preserve">   </w:t>
          </w:r>
          <w:hyperlink r:id="rId4" w:history="1">
            <w:r w:rsidRPr="00517758">
              <w:rPr>
                <w:rStyle w:val="Hyperlink"/>
              </w:rPr>
              <w:t>http://www.fao.org/fsnforum/es/activities/open-calls/CFS_right_to_food</w:t>
            </w:r>
          </w:hyperlink>
        </w:p>
      </w:tc>
    </w:tr>
  </w:tbl>
  <w:p w:rsidR="00906040" w:rsidRPr="001E4B9E" w:rsidRDefault="00906040" w:rsidP="00906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34FB"/>
    <w:multiLevelType w:val="hybridMultilevel"/>
    <w:tmpl w:val="6226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5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8"/>
  </w:num>
  <w:num w:numId="18">
    <w:abstractNumId w:val="2"/>
  </w:num>
  <w:num w:numId="19">
    <w:abstractNumId w:val="11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07B4F"/>
    <w:rsid w:val="00013288"/>
    <w:rsid w:val="000145A3"/>
    <w:rsid w:val="00016690"/>
    <w:rsid w:val="00024193"/>
    <w:rsid w:val="00024380"/>
    <w:rsid w:val="00025F78"/>
    <w:rsid w:val="00033185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7734A"/>
    <w:rsid w:val="00081ACF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570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5779C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96391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4B9E"/>
    <w:rsid w:val="001E6A5A"/>
    <w:rsid w:val="001E741B"/>
    <w:rsid w:val="001F6273"/>
    <w:rsid w:val="00207B16"/>
    <w:rsid w:val="0021356E"/>
    <w:rsid w:val="00215654"/>
    <w:rsid w:val="00220776"/>
    <w:rsid w:val="00220FC1"/>
    <w:rsid w:val="00221904"/>
    <w:rsid w:val="00223A25"/>
    <w:rsid w:val="00235327"/>
    <w:rsid w:val="00237F89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6613D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31BC"/>
    <w:rsid w:val="002D645B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3B9"/>
    <w:rsid w:val="00332C3C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66B60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CF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2F1E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5D"/>
    <w:rsid w:val="004B20C3"/>
    <w:rsid w:val="004B53B6"/>
    <w:rsid w:val="004C1BF7"/>
    <w:rsid w:val="004C3B08"/>
    <w:rsid w:val="004C74D0"/>
    <w:rsid w:val="004D2808"/>
    <w:rsid w:val="004D316F"/>
    <w:rsid w:val="004D6AA1"/>
    <w:rsid w:val="004D7EB3"/>
    <w:rsid w:val="004E07CA"/>
    <w:rsid w:val="004E1E17"/>
    <w:rsid w:val="004E27D8"/>
    <w:rsid w:val="004E6D37"/>
    <w:rsid w:val="004E7CE9"/>
    <w:rsid w:val="004F31FF"/>
    <w:rsid w:val="004F3481"/>
    <w:rsid w:val="004F5E66"/>
    <w:rsid w:val="004F67DD"/>
    <w:rsid w:val="00501155"/>
    <w:rsid w:val="00502264"/>
    <w:rsid w:val="00502612"/>
    <w:rsid w:val="005031A5"/>
    <w:rsid w:val="00503765"/>
    <w:rsid w:val="0050393D"/>
    <w:rsid w:val="0050498E"/>
    <w:rsid w:val="00504AA4"/>
    <w:rsid w:val="00513851"/>
    <w:rsid w:val="00516365"/>
    <w:rsid w:val="00523EB5"/>
    <w:rsid w:val="00525937"/>
    <w:rsid w:val="00530080"/>
    <w:rsid w:val="0053052F"/>
    <w:rsid w:val="005312EB"/>
    <w:rsid w:val="0053212C"/>
    <w:rsid w:val="0053562D"/>
    <w:rsid w:val="0054006D"/>
    <w:rsid w:val="005401FE"/>
    <w:rsid w:val="00542972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1023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1D71"/>
    <w:rsid w:val="005E3DFC"/>
    <w:rsid w:val="005F5A29"/>
    <w:rsid w:val="00603125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03267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1DD9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5C94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1BE4"/>
    <w:rsid w:val="009942A8"/>
    <w:rsid w:val="009966C2"/>
    <w:rsid w:val="0099770F"/>
    <w:rsid w:val="009A2C45"/>
    <w:rsid w:val="009B135F"/>
    <w:rsid w:val="009B7FA8"/>
    <w:rsid w:val="009C444E"/>
    <w:rsid w:val="009C734B"/>
    <w:rsid w:val="009D172C"/>
    <w:rsid w:val="009D3C90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75C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25620"/>
    <w:rsid w:val="00B330F2"/>
    <w:rsid w:val="00B35E4D"/>
    <w:rsid w:val="00B36508"/>
    <w:rsid w:val="00B4371D"/>
    <w:rsid w:val="00B53840"/>
    <w:rsid w:val="00B53996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968B7"/>
    <w:rsid w:val="00BA163E"/>
    <w:rsid w:val="00BA1B5F"/>
    <w:rsid w:val="00BA4863"/>
    <w:rsid w:val="00BB6310"/>
    <w:rsid w:val="00BD0002"/>
    <w:rsid w:val="00BD0D6C"/>
    <w:rsid w:val="00BD1673"/>
    <w:rsid w:val="00BD2198"/>
    <w:rsid w:val="00BE2CAB"/>
    <w:rsid w:val="00BE73FA"/>
    <w:rsid w:val="00BF115F"/>
    <w:rsid w:val="00BF409B"/>
    <w:rsid w:val="00BF7416"/>
    <w:rsid w:val="00C020F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305"/>
    <w:rsid w:val="00C92932"/>
    <w:rsid w:val="00C9410C"/>
    <w:rsid w:val="00C94219"/>
    <w:rsid w:val="00C955C6"/>
    <w:rsid w:val="00CA68E2"/>
    <w:rsid w:val="00CA6964"/>
    <w:rsid w:val="00CA7CB8"/>
    <w:rsid w:val="00CB5D0C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16BE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6DB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645FE0"/>
    <w:pPr>
      <w:spacing w:before="120" w:after="480" w:line="276" w:lineRule="auto"/>
      <w:outlineLvl w:val="1"/>
    </w:pPr>
    <w:rPr>
      <w:rFonts w:ascii="Cambria" w:hAnsi="Cambria"/>
      <w:b/>
      <w:bCs/>
      <w:color w:val="B43131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5FE0"/>
    <w:rPr>
      <w:rFonts w:ascii="Cambria" w:eastAsia="Times New Roman" w:hAnsi="Cambria" w:cs="Arial"/>
      <w:b/>
      <w:bCs/>
      <w:color w:val="B43131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  <w:style w:type="paragraph" w:customStyle="1" w:styleId="Body">
    <w:name w:val="Body"/>
    <w:rsid w:val="001E4B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n-moderator@fa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fsnforu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es/activities/open-calls/CFS_right_to_food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open-calls/CFS_right_to_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D007-941B-4C81-B683-0489CEE2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10281</Characters>
  <Application>Microsoft Office Word</Application>
  <DocSecurity>4</DocSecurity>
  <Lines>85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11971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Blanck, Max (ESA)</cp:lastModifiedBy>
  <cp:revision>2</cp:revision>
  <cp:lastPrinted>2015-02-02T14:02:00Z</cp:lastPrinted>
  <dcterms:created xsi:type="dcterms:W3CDTF">2017-11-30T11:03:00Z</dcterms:created>
  <dcterms:modified xsi:type="dcterms:W3CDTF">2017-11-30T11:03:00Z</dcterms:modified>
</cp:coreProperties>
</file>