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E88C" w14:textId="77777777" w:rsidR="00653018" w:rsidRDefault="00653018" w:rsidP="00AB5B85">
      <w:pPr>
        <w:rPr>
          <w:b/>
          <w:bCs/>
          <w:lang w:val="en-BE"/>
        </w:rPr>
      </w:pPr>
    </w:p>
    <w:p w14:paraId="3102E9D3" w14:textId="222AA6F9" w:rsidR="007C7E6B" w:rsidRPr="007C7E6B" w:rsidRDefault="00653018" w:rsidP="007C7E6B">
      <w:pPr>
        <w:rPr>
          <w:color w:val="0000FF"/>
          <w:lang w:val="en-BE"/>
        </w:rPr>
      </w:pPr>
      <w:r w:rsidRPr="007C7E6B">
        <w:t xml:space="preserve">Ref: </w:t>
      </w:r>
      <w:hyperlink r:id="rId7" w:history="1">
        <w:r w:rsidR="007C7E6B" w:rsidRPr="007C7E6B">
          <w:rPr>
            <w:rStyle w:val="Hyperlink"/>
            <w:color w:val="0000FF"/>
            <w:lang w:val="en-BE"/>
          </w:rPr>
          <w:t>Consultation Open until: 13.12.2024</w:t>
        </w:r>
      </w:hyperlink>
    </w:p>
    <w:p w14:paraId="57D0FFD2" w14:textId="555BC50E" w:rsidR="007C7E6B" w:rsidRDefault="007C7E6B" w:rsidP="007C7E6B">
      <w:pPr>
        <w:rPr>
          <w:lang w:val="en-BE"/>
        </w:rPr>
      </w:pPr>
      <w:r w:rsidRPr="007C7E6B">
        <w:rPr>
          <w:lang w:val="en-BE"/>
        </w:rPr>
        <w:t>contributions: 62</w:t>
      </w:r>
      <w:r>
        <w:rPr>
          <w:lang w:val="en-BE"/>
        </w:rPr>
        <w:t xml:space="preserve"> (as per 12/12)</w:t>
      </w:r>
    </w:p>
    <w:p w14:paraId="33A7D36D" w14:textId="71837BBE" w:rsidR="007C7E6B" w:rsidRDefault="007C7E6B" w:rsidP="007C7E6B">
      <w:pPr>
        <w:rPr>
          <w:lang w:val="en-BE"/>
        </w:rPr>
      </w:pPr>
      <w:r>
        <w:rPr>
          <w:lang w:val="en-BE"/>
        </w:rPr>
        <w:t xml:space="preserve">Below is the contribution from </w:t>
      </w:r>
      <w:proofErr w:type="spellStart"/>
      <w:r>
        <w:rPr>
          <w:lang w:val="en-BE"/>
        </w:rPr>
        <w:t>GFAiR</w:t>
      </w:r>
      <w:proofErr w:type="spellEnd"/>
      <w:r>
        <w:rPr>
          <w:lang w:val="en-BE"/>
        </w:rPr>
        <w:t xml:space="preserve"> on 13/12/2024</w:t>
      </w:r>
    </w:p>
    <w:p w14:paraId="188E862A" w14:textId="77777777" w:rsidR="007C7E6B" w:rsidRPr="007C7E6B" w:rsidRDefault="007C7E6B" w:rsidP="007C7E6B">
      <w:pPr>
        <w:rPr>
          <w:lang w:val="en-BE"/>
        </w:rPr>
      </w:pPr>
    </w:p>
    <w:p w14:paraId="76ED9BB0" w14:textId="425FF564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 xml:space="preserve">1. </w:t>
      </w:r>
      <w:r w:rsidR="00653018" w:rsidRPr="00653018">
        <w:rPr>
          <w:b/>
          <w:bCs/>
          <w:lang w:val="en-BE"/>
        </w:rPr>
        <w:t xml:space="preserve">While drafting the report, HLPE-FSN experts will </w:t>
      </w:r>
      <w:r w:rsidR="00653018">
        <w:rPr>
          <w:b/>
          <w:bCs/>
          <w:lang w:val="en-BE"/>
        </w:rPr>
        <w:t xml:space="preserve">to </w:t>
      </w:r>
      <w:proofErr w:type="gramStart"/>
      <w:r w:rsidR="00653018">
        <w:rPr>
          <w:b/>
          <w:bCs/>
          <w:lang w:val="en-BE"/>
        </w:rPr>
        <w:t>a number of</w:t>
      </w:r>
      <w:proofErr w:type="gramEnd"/>
      <w:r w:rsidR="00653018">
        <w:rPr>
          <w:b/>
          <w:bCs/>
          <w:lang w:val="en-BE"/>
        </w:rPr>
        <w:t xml:space="preserve"> </w:t>
      </w:r>
      <w:r w:rsidR="00653018" w:rsidRPr="00653018">
        <w:rPr>
          <w:b/>
          <w:bCs/>
          <w:lang w:val="en-BE"/>
        </w:rPr>
        <w:t>guiding principles</w:t>
      </w:r>
      <w:r w:rsidR="00653018" w:rsidRPr="00653018">
        <w:rPr>
          <w:b/>
          <w:bCs/>
          <w:lang w:val="en-BE"/>
        </w:rPr>
        <w:t xml:space="preserve"> </w:t>
      </w:r>
      <w:r w:rsidRPr="00AB5B85">
        <w:rPr>
          <w:b/>
          <w:bCs/>
          <w:lang w:val="en-BE"/>
        </w:rPr>
        <w:t>Do you agree with the guiding principles indicated above?</w:t>
      </w:r>
    </w:p>
    <w:p w14:paraId="147AA387" w14:textId="399D82DE" w:rsidR="00AB5B85" w:rsidRPr="00AB5B85" w:rsidRDefault="00AB5B85" w:rsidP="00AB5B85">
      <w:pPr>
        <w:rPr>
          <w:lang w:val="en-BE"/>
        </w:rPr>
      </w:pPr>
      <w:r>
        <w:rPr>
          <w:lang w:val="en-BE"/>
        </w:rPr>
        <w:t>The</w:t>
      </w:r>
      <w:r w:rsidRPr="00AB5B85">
        <w:rPr>
          <w:lang w:val="en-BE"/>
        </w:rPr>
        <w:t xml:space="preserve"> guiding principles </w:t>
      </w:r>
      <w:r>
        <w:rPr>
          <w:lang w:val="en-BE"/>
        </w:rPr>
        <w:t xml:space="preserve">- </w:t>
      </w:r>
      <w:r w:rsidRPr="00AB5B85">
        <w:t>to ensure legitimacy among stakeholders</w:t>
      </w:r>
      <w:r>
        <w:t xml:space="preserve"> - </w:t>
      </w:r>
      <w:r>
        <w:rPr>
          <w:lang w:val="en-BE"/>
        </w:rPr>
        <w:t xml:space="preserve">should </w:t>
      </w:r>
      <w:r w:rsidRPr="00AB5B85">
        <w:rPr>
          <w:lang w:val="en-BE"/>
        </w:rPr>
        <w:t xml:space="preserve">provide a strong foundation </w:t>
      </w:r>
      <w:r>
        <w:rPr>
          <w:lang w:val="en-BE"/>
        </w:rPr>
        <w:t>to</w:t>
      </w:r>
      <w:r w:rsidRPr="00AB5B85">
        <w:rPr>
          <w:lang w:val="en-BE"/>
        </w:rPr>
        <w:t xml:space="preserve"> ensure women's access to nutrient-dense Indigenous foods </w:t>
      </w:r>
      <w:r>
        <w:rPr>
          <w:lang w:val="en-BE"/>
        </w:rPr>
        <w:t xml:space="preserve">which </w:t>
      </w:r>
      <w:r w:rsidRPr="00AB5B85">
        <w:rPr>
          <w:lang w:val="en-BE"/>
        </w:rPr>
        <w:t xml:space="preserve">supports their reproductive health, reduces </w:t>
      </w:r>
      <w:proofErr w:type="spellStart"/>
      <w:r w:rsidRPr="00AB5B85">
        <w:rPr>
          <w:lang w:val="en-BE"/>
        </w:rPr>
        <w:t>anemia</w:t>
      </w:r>
      <w:proofErr w:type="spellEnd"/>
      <w:r w:rsidRPr="00AB5B85">
        <w:rPr>
          <w:lang w:val="en-BE"/>
        </w:rPr>
        <w:t>, and fosters overall well-being</w:t>
      </w:r>
      <w:r w:rsidRPr="00AB5B85">
        <w:rPr>
          <w:rFonts w:ascii="Arial" w:hAnsi="Arial" w:cs="Arial"/>
          <w:lang w:val="en-BE"/>
        </w:rPr>
        <w:t>​</w:t>
      </w:r>
      <w:r w:rsidRPr="00AB5B85">
        <w:rPr>
          <w:lang w:val="en-BE"/>
        </w:rPr>
        <w:t>.</w:t>
      </w:r>
    </w:p>
    <w:p w14:paraId="3FE03DCC" w14:textId="77777777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>2. Should the objectives include mainstreaming Indigenous Peoples food and knowledge systems for the benefit of all, or solely for Indigenous Peoples as rights holders?</w:t>
      </w:r>
    </w:p>
    <w:p w14:paraId="18AF8717" w14:textId="627EB48C" w:rsidR="00AB5B85" w:rsidRPr="00AB5B85" w:rsidRDefault="00AB5B85" w:rsidP="00AB5B85">
      <w:pPr>
        <w:rPr>
          <w:lang w:val="en-BE"/>
        </w:rPr>
      </w:pPr>
      <w:r w:rsidRPr="00AB5B85">
        <w:rPr>
          <w:lang w:val="en-BE"/>
        </w:rPr>
        <w:t xml:space="preserve">The objectives should prioritize Indigenous women as rights holders, as they are central to food preparation and nutrition within their communities. </w:t>
      </w:r>
      <w:r w:rsidR="004177E9">
        <w:rPr>
          <w:lang w:val="en-BE"/>
        </w:rPr>
        <w:t xml:space="preserve">Particularly indigenous women are the custodians of the Food Heritage, receiving a diversity of </w:t>
      </w:r>
      <w:proofErr w:type="spellStart"/>
      <w:r w:rsidR="004177E9">
        <w:rPr>
          <w:lang w:val="en-BE"/>
        </w:rPr>
        <w:t>lable</w:t>
      </w:r>
      <w:proofErr w:type="spellEnd"/>
      <w:r w:rsidR="004177E9">
        <w:rPr>
          <w:lang w:val="en-BE"/>
        </w:rPr>
        <w:t xml:space="preserve">: </w:t>
      </w:r>
      <w:r w:rsidR="004177E9" w:rsidRPr="004177E9">
        <w:rPr>
          <w:lang w:val="en-BE"/>
        </w:rPr>
        <w:t>Indigenous Foods, Forgotten Foods, Traditional crops, Neglected Crops, Underutilized species, Under-researched crops, Minor crops, Crops of the future, Opportunity Crops, Smart Foods, Nutrient dense foods</w:t>
      </w:r>
      <w:r w:rsidR="004177E9">
        <w:rPr>
          <w:lang w:val="en-BE"/>
        </w:rPr>
        <w:t xml:space="preserve">. </w:t>
      </w:r>
      <w:r w:rsidRPr="00AB5B85">
        <w:rPr>
          <w:lang w:val="en-BE"/>
        </w:rPr>
        <w:t>However, mainstreaming these systems for broader use can amplify the benefits, such as improving women's health globally by addressing common deficiencies like iron and folic acid</w:t>
      </w:r>
      <w:r w:rsidRPr="00AB5B85">
        <w:rPr>
          <w:rFonts w:ascii="Arial" w:hAnsi="Arial" w:cs="Arial"/>
          <w:lang w:val="en-BE"/>
        </w:rPr>
        <w:t>​​</w:t>
      </w:r>
      <w:r w:rsidR="004177E9">
        <w:rPr>
          <w:lang w:val="en-BE"/>
        </w:rPr>
        <w:t>, and in general the benefits of healthy nutritious food to limit the present hidden cost of poor nutritious food on health.</w:t>
      </w:r>
    </w:p>
    <w:p w14:paraId="20DE37E0" w14:textId="77777777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>3. What are the challenges related to Free, Prior and Informed Consent and Access and Benefit Sharing when widely promoting and/or mainstreaming Indigenous Peoples food and knowledge systems?</w:t>
      </w:r>
    </w:p>
    <w:p w14:paraId="081260E6" w14:textId="77777777" w:rsidR="00AB5B85" w:rsidRPr="00AB5B85" w:rsidRDefault="00AB5B85" w:rsidP="00AB5B85">
      <w:pPr>
        <w:numPr>
          <w:ilvl w:val="0"/>
          <w:numId w:val="10"/>
        </w:numPr>
        <w:rPr>
          <w:lang w:val="en-BE"/>
        </w:rPr>
      </w:pPr>
      <w:r w:rsidRPr="00AB5B85">
        <w:rPr>
          <w:lang w:val="en-BE"/>
        </w:rPr>
        <w:t>Ensuring equitable benefit-sharing for Indigenous women, who are often custodians of food traditions, can be challenging.</w:t>
      </w:r>
    </w:p>
    <w:p w14:paraId="441C06D6" w14:textId="77777777" w:rsidR="00AB5B85" w:rsidRPr="00AB5B85" w:rsidRDefault="00AB5B85" w:rsidP="00AB5B85">
      <w:pPr>
        <w:numPr>
          <w:ilvl w:val="0"/>
          <w:numId w:val="10"/>
        </w:numPr>
        <w:rPr>
          <w:lang w:val="en-BE"/>
        </w:rPr>
      </w:pPr>
      <w:r w:rsidRPr="00AB5B85">
        <w:rPr>
          <w:lang w:val="en-BE"/>
        </w:rPr>
        <w:t>Commercialization risks could marginalize Indigenous women or undervalue their knowledge, impacting their livelihoods and mental well-being.</w:t>
      </w:r>
    </w:p>
    <w:p w14:paraId="023F0AD3" w14:textId="7D9A3E42" w:rsidR="00AB5B85" w:rsidRPr="00AB5B85" w:rsidRDefault="004177E9" w:rsidP="00AB5B85">
      <w:pPr>
        <w:numPr>
          <w:ilvl w:val="0"/>
          <w:numId w:val="10"/>
        </w:numPr>
        <w:rPr>
          <w:lang w:val="en-BE"/>
        </w:rPr>
      </w:pPr>
      <w:r w:rsidRPr="004177E9">
        <w:rPr>
          <w:lang w:val="en-BE"/>
        </w:rPr>
        <w:t>Prior and Informed Consent (FPIC)</w:t>
      </w:r>
      <w:r w:rsidR="00AB5B85" w:rsidRPr="00AB5B85">
        <w:rPr>
          <w:lang w:val="en-BE"/>
        </w:rPr>
        <w:t xml:space="preserve"> frameworks need to address gender-specific concerns, such as women's roles in knowledge transmission and health interventions</w:t>
      </w:r>
      <w:r w:rsidR="00AB5B85" w:rsidRPr="00AB5B85">
        <w:rPr>
          <w:rFonts w:ascii="Arial" w:hAnsi="Arial" w:cs="Arial"/>
          <w:lang w:val="en-BE"/>
        </w:rPr>
        <w:t>​</w:t>
      </w:r>
      <w:r w:rsidR="00AB5B85" w:rsidRPr="00AB5B85">
        <w:rPr>
          <w:lang w:val="en-BE"/>
        </w:rPr>
        <w:t>.</w:t>
      </w:r>
    </w:p>
    <w:p w14:paraId="478EF447" w14:textId="77777777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>4. How can the report ensure inclusion of marginalized groups, sustainability, and protection against commercialization risks?</w:t>
      </w:r>
    </w:p>
    <w:p w14:paraId="523E2767" w14:textId="78509E18" w:rsidR="00AB5B85" w:rsidRPr="00AB5B85" w:rsidRDefault="00AB5B85" w:rsidP="00AB5B85">
      <w:pPr>
        <w:numPr>
          <w:ilvl w:val="0"/>
          <w:numId w:val="11"/>
        </w:numPr>
        <w:rPr>
          <w:lang w:val="en-BE"/>
        </w:rPr>
      </w:pPr>
      <w:r w:rsidRPr="00AB5B85">
        <w:rPr>
          <w:lang w:val="en-BE"/>
        </w:rPr>
        <w:t>Advocate for women-led initiatives in food production and entrepreneurship, such as the African Food Heritage Project</w:t>
      </w:r>
      <w:r w:rsidR="004177E9">
        <w:rPr>
          <w:lang w:val="en-BE"/>
        </w:rPr>
        <w:t xml:space="preserve"> (by </w:t>
      </w:r>
      <w:proofErr w:type="spellStart"/>
      <w:r w:rsidR="004177E9">
        <w:rPr>
          <w:lang w:val="en-BE"/>
        </w:rPr>
        <w:t>Foodbridge</w:t>
      </w:r>
      <w:proofErr w:type="spellEnd"/>
      <w:r w:rsidR="004177E9">
        <w:rPr>
          <w:lang w:val="en-BE"/>
        </w:rPr>
        <w:t>)</w:t>
      </w:r>
      <w:r w:rsidRPr="00AB5B85">
        <w:rPr>
          <w:lang w:val="en-BE"/>
        </w:rPr>
        <w:t>, which empowers women through economic opportunities</w:t>
      </w:r>
      <w:r w:rsidRPr="00AB5B85">
        <w:rPr>
          <w:rFonts w:ascii="Arial" w:hAnsi="Arial" w:cs="Arial"/>
          <w:lang w:val="en-BE"/>
        </w:rPr>
        <w:t>​</w:t>
      </w:r>
      <w:r w:rsidRPr="00AB5B85">
        <w:rPr>
          <w:lang w:val="en-BE"/>
        </w:rPr>
        <w:t>.</w:t>
      </w:r>
      <w:r w:rsidR="00653018" w:rsidRPr="00653018">
        <w:t xml:space="preserve"> </w:t>
      </w:r>
      <w:hyperlink r:id="rId8" w:history="1">
        <w:r w:rsidR="00653018" w:rsidRPr="000D6FA2">
          <w:rPr>
            <w:rStyle w:val="Hyperlink"/>
            <w:lang w:val="en-BE"/>
          </w:rPr>
          <w:t>https://www.thefoodbridge.org/index.php/food-heritage-project/194-food-heritage-project</w:t>
        </w:r>
      </w:hyperlink>
      <w:r w:rsidR="00653018">
        <w:rPr>
          <w:lang w:val="en-BE"/>
        </w:rPr>
        <w:t xml:space="preserve"> </w:t>
      </w:r>
    </w:p>
    <w:p w14:paraId="357A8292" w14:textId="77777777" w:rsidR="00AB5B85" w:rsidRPr="00AB5B85" w:rsidRDefault="00AB5B85" w:rsidP="00AB5B85">
      <w:pPr>
        <w:numPr>
          <w:ilvl w:val="0"/>
          <w:numId w:val="11"/>
        </w:numPr>
        <w:rPr>
          <w:lang w:val="en-BE"/>
        </w:rPr>
      </w:pPr>
      <w:r w:rsidRPr="00AB5B85">
        <w:rPr>
          <w:lang w:val="en-BE"/>
        </w:rPr>
        <w:lastRenderedPageBreak/>
        <w:t>Highlight policy recommendations that ensure Indigenous women's traditional knowledge remains central and benefits them directly.</w:t>
      </w:r>
    </w:p>
    <w:p w14:paraId="37EFE0F3" w14:textId="77777777" w:rsidR="00AB5B85" w:rsidRPr="00AB5B85" w:rsidRDefault="00AB5B85" w:rsidP="00AB5B85">
      <w:pPr>
        <w:numPr>
          <w:ilvl w:val="0"/>
          <w:numId w:val="11"/>
        </w:numPr>
        <w:rPr>
          <w:lang w:val="en-BE"/>
        </w:rPr>
      </w:pPr>
      <w:r w:rsidRPr="00AB5B85">
        <w:rPr>
          <w:lang w:val="en-BE"/>
        </w:rPr>
        <w:t>Promote gender-sensitive approaches to sustainability, ensuring women retain control over their roles in food systems</w:t>
      </w:r>
      <w:r w:rsidRPr="00AB5B85">
        <w:rPr>
          <w:rFonts w:ascii="Arial" w:hAnsi="Arial" w:cs="Arial"/>
          <w:lang w:val="en-BE"/>
        </w:rPr>
        <w:t>​</w:t>
      </w:r>
      <w:r w:rsidRPr="00AB5B85">
        <w:rPr>
          <w:lang w:val="en-BE"/>
        </w:rPr>
        <w:t>.</w:t>
      </w:r>
    </w:p>
    <w:p w14:paraId="08958FD1" w14:textId="77777777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>5. How should oral knowledge and traditions be documented and referenced in the development of the report?</w:t>
      </w:r>
    </w:p>
    <w:p w14:paraId="6CBAE79D" w14:textId="7014D596" w:rsidR="00AB5B85" w:rsidRPr="00AB5B85" w:rsidRDefault="00AB5B85" w:rsidP="00AB5B85">
      <w:pPr>
        <w:numPr>
          <w:ilvl w:val="0"/>
          <w:numId w:val="12"/>
        </w:numPr>
        <w:rPr>
          <w:lang w:val="en-BE"/>
        </w:rPr>
      </w:pPr>
      <w:r w:rsidRPr="00AB5B85">
        <w:rPr>
          <w:lang w:val="en-BE"/>
        </w:rPr>
        <w:t>Use participatory approaches that prioritize Indigenous women’s voices, ensuring their roles in preserving culinary and medicinal practices are documented.</w:t>
      </w:r>
      <w:r w:rsidR="004177E9">
        <w:rPr>
          <w:lang w:val="en-BE"/>
        </w:rPr>
        <w:t xml:space="preserve"> A great example is the GAMAAL app </w:t>
      </w:r>
      <w:hyperlink r:id="rId9" w:history="1">
        <w:r w:rsidR="00653018" w:rsidRPr="000D6FA2">
          <w:rPr>
            <w:rStyle w:val="Hyperlink"/>
            <w:lang w:val="en-BE"/>
          </w:rPr>
          <w:t>https://gamaal.co.uk/</w:t>
        </w:r>
      </w:hyperlink>
      <w:r w:rsidR="00653018">
        <w:rPr>
          <w:lang w:val="en-BE"/>
        </w:rPr>
        <w:t xml:space="preserve"> </w:t>
      </w:r>
    </w:p>
    <w:p w14:paraId="5954760F" w14:textId="77777777" w:rsidR="00AB5B85" w:rsidRPr="00AB5B85" w:rsidRDefault="00AB5B85" w:rsidP="00AB5B85">
      <w:pPr>
        <w:numPr>
          <w:ilvl w:val="0"/>
          <w:numId w:val="12"/>
        </w:numPr>
        <w:rPr>
          <w:lang w:val="en-BE"/>
        </w:rPr>
      </w:pPr>
      <w:r w:rsidRPr="00AB5B85">
        <w:rPr>
          <w:lang w:val="en-BE"/>
        </w:rPr>
        <w:t xml:space="preserve">Tools like recipe books and digital platforms (e.g., </w:t>
      </w:r>
      <w:proofErr w:type="spellStart"/>
      <w:r w:rsidRPr="00AB5B85">
        <w:rPr>
          <w:lang w:val="en-BE"/>
        </w:rPr>
        <w:t>Gamaal</w:t>
      </w:r>
      <w:proofErr w:type="spellEnd"/>
      <w:r w:rsidRPr="00AB5B85">
        <w:rPr>
          <w:lang w:val="en-BE"/>
        </w:rPr>
        <w:t xml:space="preserve"> App) can showcase women’s contributions to traditional food knowledge while promoting health-focused education</w:t>
      </w:r>
      <w:r w:rsidRPr="00AB5B85">
        <w:rPr>
          <w:rFonts w:ascii="Arial" w:hAnsi="Arial" w:cs="Arial"/>
          <w:lang w:val="en-BE"/>
        </w:rPr>
        <w:t>​</w:t>
      </w:r>
      <w:r w:rsidRPr="00AB5B85">
        <w:rPr>
          <w:lang w:val="en-BE"/>
        </w:rPr>
        <w:t>.</w:t>
      </w:r>
    </w:p>
    <w:p w14:paraId="1841F964" w14:textId="77777777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>6. What dimensions linked to Indigenous Peoples’ agency, e.g., governance issues, could be addressed?</w:t>
      </w:r>
    </w:p>
    <w:p w14:paraId="36091FEF" w14:textId="77777777" w:rsidR="00AB5B85" w:rsidRPr="00AB5B85" w:rsidRDefault="00AB5B85" w:rsidP="00AB5B85">
      <w:pPr>
        <w:numPr>
          <w:ilvl w:val="0"/>
          <w:numId w:val="13"/>
        </w:numPr>
        <w:rPr>
          <w:lang w:val="en-BE"/>
        </w:rPr>
      </w:pPr>
      <w:r w:rsidRPr="00AB5B85">
        <w:rPr>
          <w:lang w:val="en-BE"/>
        </w:rPr>
        <w:t>Elevate women's agency in food governance, recognizing their dual roles as producers and caregivers.</w:t>
      </w:r>
    </w:p>
    <w:p w14:paraId="171AECEB" w14:textId="77777777" w:rsidR="00AB5B85" w:rsidRPr="00AB5B85" w:rsidRDefault="00AB5B85" w:rsidP="00AB5B85">
      <w:pPr>
        <w:numPr>
          <w:ilvl w:val="0"/>
          <w:numId w:val="13"/>
        </w:numPr>
        <w:rPr>
          <w:lang w:val="en-BE"/>
        </w:rPr>
      </w:pPr>
      <w:r w:rsidRPr="00AB5B85">
        <w:rPr>
          <w:lang w:val="en-BE"/>
        </w:rPr>
        <w:t>Encourage women-led cooperatives and networks to foster collaboration and advocacy for their health needs within broader governance structures</w:t>
      </w:r>
      <w:r w:rsidRPr="00AB5B85">
        <w:rPr>
          <w:rFonts w:ascii="Arial" w:hAnsi="Arial" w:cs="Arial"/>
          <w:lang w:val="en-BE"/>
        </w:rPr>
        <w:t>​​</w:t>
      </w:r>
      <w:r w:rsidRPr="00AB5B85">
        <w:rPr>
          <w:lang w:val="en-BE"/>
        </w:rPr>
        <w:t>.</w:t>
      </w:r>
    </w:p>
    <w:p w14:paraId="7EFFA5B8" w14:textId="77777777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>7. Are there important/relevant policy papers and instruments missing from the foundational documents list?</w:t>
      </w:r>
    </w:p>
    <w:p w14:paraId="30858672" w14:textId="77777777" w:rsidR="00AB5B85" w:rsidRPr="00AB5B85" w:rsidRDefault="00AB5B85" w:rsidP="00AB5B85">
      <w:pPr>
        <w:numPr>
          <w:ilvl w:val="0"/>
          <w:numId w:val="14"/>
        </w:numPr>
        <w:rPr>
          <w:lang w:val="en-BE"/>
        </w:rPr>
      </w:pPr>
      <w:r w:rsidRPr="00AB5B85">
        <w:rPr>
          <w:lang w:val="en-BE"/>
        </w:rPr>
        <w:t>Include FAO’s "Compendium of Forgotten Foods in Africa," which links Indigenous foods to improved health outcomes</w:t>
      </w:r>
      <w:r w:rsidRPr="00AB5B85">
        <w:rPr>
          <w:rFonts w:ascii="Arial" w:hAnsi="Arial" w:cs="Arial"/>
          <w:lang w:val="en-BE"/>
        </w:rPr>
        <w:t>​</w:t>
      </w:r>
      <w:r w:rsidRPr="00AB5B85">
        <w:rPr>
          <w:lang w:val="en-BE"/>
        </w:rPr>
        <w:t>.</w:t>
      </w:r>
    </w:p>
    <w:p w14:paraId="0D838DF9" w14:textId="77777777" w:rsidR="00AB5B85" w:rsidRPr="00AB5B85" w:rsidRDefault="00AB5B85" w:rsidP="00AB5B85">
      <w:pPr>
        <w:numPr>
          <w:ilvl w:val="0"/>
          <w:numId w:val="14"/>
        </w:numPr>
        <w:rPr>
          <w:lang w:val="en-BE"/>
        </w:rPr>
      </w:pPr>
      <w:proofErr w:type="spellStart"/>
      <w:r w:rsidRPr="00AB5B85">
        <w:rPr>
          <w:lang w:val="en-BE"/>
        </w:rPr>
        <w:t>GFAR’s</w:t>
      </w:r>
      <w:proofErr w:type="spellEnd"/>
      <w:r w:rsidRPr="00AB5B85">
        <w:rPr>
          <w:lang w:val="en-BE"/>
        </w:rPr>
        <w:t xml:space="preserve"> Global Manifesto on Forgotten Foods, which underscores women’s roles in sustainable food systems, is another key resource</w:t>
      </w:r>
      <w:r w:rsidRPr="00AB5B85">
        <w:rPr>
          <w:rFonts w:ascii="Arial" w:hAnsi="Arial" w:cs="Arial"/>
          <w:lang w:val="en-BE"/>
        </w:rPr>
        <w:t>​</w:t>
      </w:r>
      <w:r w:rsidRPr="00AB5B85">
        <w:rPr>
          <w:lang w:val="en-BE"/>
        </w:rPr>
        <w:t>.</w:t>
      </w:r>
    </w:p>
    <w:p w14:paraId="0AEA32AC" w14:textId="77777777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 xml:space="preserve">8. Could you please indicate relevant references that should be </w:t>
      </w:r>
      <w:proofErr w:type="gramStart"/>
      <w:r w:rsidRPr="00AB5B85">
        <w:rPr>
          <w:b/>
          <w:bCs/>
          <w:lang w:val="en-BE"/>
        </w:rPr>
        <w:t>taken into account</w:t>
      </w:r>
      <w:proofErr w:type="gramEnd"/>
      <w:r w:rsidRPr="00AB5B85">
        <w:rPr>
          <w:b/>
          <w:bCs/>
          <w:lang w:val="en-BE"/>
        </w:rPr>
        <w:t>?</w:t>
      </w:r>
    </w:p>
    <w:p w14:paraId="55A6A036" w14:textId="77777777" w:rsidR="00AB5B85" w:rsidRPr="00AB5B85" w:rsidRDefault="00AB5B85" w:rsidP="00AB5B85">
      <w:pPr>
        <w:numPr>
          <w:ilvl w:val="0"/>
          <w:numId w:val="15"/>
        </w:numPr>
        <w:rPr>
          <w:lang w:val="en-BE"/>
        </w:rPr>
      </w:pPr>
      <w:r w:rsidRPr="00AB5B85">
        <w:rPr>
          <w:lang w:val="en-BE"/>
        </w:rPr>
        <w:t>FAO’s "Future Smart Food" report for linking nutrient-dense crops to women's health</w:t>
      </w:r>
      <w:r w:rsidRPr="00AB5B85">
        <w:rPr>
          <w:rFonts w:ascii="Arial" w:hAnsi="Arial" w:cs="Arial"/>
          <w:lang w:val="en-BE"/>
        </w:rPr>
        <w:t>​</w:t>
      </w:r>
      <w:r w:rsidRPr="00AB5B85">
        <w:rPr>
          <w:lang w:val="en-BE"/>
        </w:rPr>
        <w:t>.</w:t>
      </w:r>
    </w:p>
    <w:p w14:paraId="745D2C81" w14:textId="77777777" w:rsidR="00AB5B85" w:rsidRPr="00AB5B85" w:rsidRDefault="00AB5B85" w:rsidP="00AB5B85">
      <w:pPr>
        <w:numPr>
          <w:ilvl w:val="0"/>
          <w:numId w:val="15"/>
        </w:numPr>
        <w:rPr>
          <w:lang w:val="en-BE"/>
        </w:rPr>
      </w:pPr>
      <w:r w:rsidRPr="00AB5B85">
        <w:rPr>
          <w:lang w:val="en-BE"/>
        </w:rPr>
        <w:t>The Nutrition Business Monitoring tool by GAIN, which supports women entrepreneurs in integrating Indigenous foods into health-focused businesses</w:t>
      </w:r>
      <w:r w:rsidRPr="00AB5B85">
        <w:rPr>
          <w:rFonts w:ascii="Arial" w:hAnsi="Arial" w:cs="Arial"/>
          <w:lang w:val="en-BE"/>
        </w:rPr>
        <w:t>​</w:t>
      </w:r>
      <w:r w:rsidRPr="00AB5B85">
        <w:rPr>
          <w:lang w:val="en-BE"/>
        </w:rPr>
        <w:t>.</w:t>
      </w:r>
    </w:p>
    <w:p w14:paraId="3581387D" w14:textId="77777777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>9. What best practices, ethical standards, and strategies for addressing climate change should be highlighted?</w:t>
      </w:r>
    </w:p>
    <w:p w14:paraId="3960F558" w14:textId="77777777" w:rsidR="00AB5B85" w:rsidRPr="00AB5B85" w:rsidRDefault="00AB5B85" w:rsidP="00AB5B85">
      <w:pPr>
        <w:numPr>
          <w:ilvl w:val="0"/>
          <w:numId w:val="16"/>
        </w:numPr>
        <w:rPr>
          <w:lang w:val="en-BE"/>
        </w:rPr>
      </w:pPr>
      <w:r w:rsidRPr="00AB5B85">
        <w:rPr>
          <w:lang w:val="en-BE"/>
        </w:rPr>
        <w:t>Promote regenerative farming and agroecological practices that empower women to sustainably grow and use traditional crops.</w:t>
      </w:r>
    </w:p>
    <w:p w14:paraId="57B0F3F4" w14:textId="396557D5" w:rsidR="00AB5B85" w:rsidRPr="00AB5B85" w:rsidRDefault="00AB5B85" w:rsidP="00AB5B85">
      <w:pPr>
        <w:numPr>
          <w:ilvl w:val="0"/>
          <w:numId w:val="16"/>
        </w:numPr>
        <w:rPr>
          <w:lang w:val="en-BE"/>
        </w:rPr>
      </w:pPr>
      <w:r w:rsidRPr="00AB5B85">
        <w:rPr>
          <w:lang w:val="en-BE"/>
        </w:rPr>
        <w:t xml:space="preserve">Highlight </w:t>
      </w:r>
      <w:r w:rsidR="00653018">
        <w:rPr>
          <w:lang w:val="en-BE"/>
        </w:rPr>
        <w:t>development and action research projects</w:t>
      </w:r>
      <w:r w:rsidRPr="00AB5B85">
        <w:rPr>
          <w:lang w:val="en-BE"/>
        </w:rPr>
        <w:t xml:space="preserve">, which integrate Indigenous foods into health systems, reducing </w:t>
      </w:r>
      <w:proofErr w:type="spellStart"/>
      <w:r w:rsidRPr="00AB5B85">
        <w:rPr>
          <w:lang w:val="en-BE"/>
        </w:rPr>
        <w:t>anemia</w:t>
      </w:r>
      <w:proofErr w:type="spellEnd"/>
      <w:r w:rsidRPr="00AB5B85">
        <w:rPr>
          <w:lang w:val="en-BE"/>
        </w:rPr>
        <w:t xml:space="preserve"> and malnutrition among women</w:t>
      </w:r>
      <w:r w:rsidRPr="00AB5B85">
        <w:rPr>
          <w:rFonts w:ascii="Arial" w:hAnsi="Arial" w:cs="Arial"/>
          <w:lang w:val="en-BE"/>
        </w:rPr>
        <w:t>​</w:t>
      </w:r>
      <w:r w:rsidRPr="00AB5B85">
        <w:rPr>
          <w:lang w:val="en-BE"/>
        </w:rPr>
        <w:t>.</w:t>
      </w:r>
      <w:r w:rsidR="00653018">
        <w:rPr>
          <w:lang w:val="en-BE"/>
        </w:rPr>
        <w:t xml:space="preserve"> Again a great example is </w:t>
      </w:r>
      <w:r w:rsidR="00653018">
        <w:rPr>
          <w:lang w:val="en-BE"/>
        </w:rPr>
        <w:lastRenderedPageBreak/>
        <w:t xml:space="preserve">KOKO plus: </w:t>
      </w:r>
      <w:r w:rsidR="00653018" w:rsidRPr="00653018">
        <w:rPr>
          <w:lang w:val="en-BE"/>
        </w:rPr>
        <w:t>Forgotten Foods / Opportunity Crops and Nutrition in the First 1000 Days</w:t>
      </w:r>
      <w:r w:rsidR="00653018">
        <w:rPr>
          <w:lang w:val="en-BE"/>
        </w:rPr>
        <w:t xml:space="preserve"> </w:t>
      </w:r>
      <w:hyperlink r:id="rId10" w:history="1">
        <w:r w:rsidR="00653018" w:rsidRPr="000D6FA2">
          <w:rPr>
            <w:rStyle w:val="Hyperlink"/>
            <w:lang w:val="en-BE"/>
          </w:rPr>
          <w:t>https://paepard.blogspot.com/2024/10/in-spotlight-nutrition-in-first-1000.html</w:t>
        </w:r>
      </w:hyperlink>
      <w:r w:rsidR="00653018">
        <w:rPr>
          <w:lang w:val="en-BE"/>
        </w:rPr>
        <w:t xml:space="preserve"> </w:t>
      </w:r>
    </w:p>
    <w:p w14:paraId="3A8BC051" w14:textId="77777777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>10. Which best practices or strategies to promote cross-cultural understanding should be highlighted?</w:t>
      </w:r>
    </w:p>
    <w:p w14:paraId="1E5DB3C0" w14:textId="77777777" w:rsidR="00AB5B85" w:rsidRPr="00AB5B85" w:rsidRDefault="00AB5B85" w:rsidP="00AB5B85">
      <w:pPr>
        <w:numPr>
          <w:ilvl w:val="0"/>
          <w:numId w:val="17"/>
        </w:numPr>
        <w:rPr>
          <w:lang w:val="en-BE"/>
        </w:rPr>
      </w:pPr>
      <w:r w:rsidRPr="00AB5B85">
        <w:rPr>
          <w:lang w:val="en-BE"/>
        </w:rPr>
        <w:t>Support initiatives like diaspora-led food festivals that celebrate women’s roles in culinary heritage, promoting mental well-being through cultural connection</w:t>
      </w:r>
      <w:r w:rsidRPr="00AB5B85">
        <w:rPr>
          <w:rFonts w:ascii="Arial" w:hAnsi="Arial" w:cs="Arial"/>
          <w:lang w:val="en-BE"/>
        </w:rPr>
        <w:t>​​</w:t>
      </w:r>
      <w:r w:rsidRPr="00AB5B85">
        <w:rPr>
          <w:lang w:val="en-BE"/>
        </w:rPr>
        <w:t>.</w:t>
      </w:r>
    </w:p>
    <w:p w14:paraId="0BC59BCE" w14:textId="77777777" w:rsidR="00AB5B85" w:rsidRPr="00AB5B85" w:rsidRDefault="00AB5B85" w:rsidP="00AB5B85">
      <w:pPr>
        <w:numPr>
          <w:ilvl w:val="0"/>
          <w:numId w:val="17"/>
        </w:numPr>
        <w:rPr>
          <w:lang w:val="en-BE"/>
        </w:rPr>
      </w:pPr>
      <w:r w:rsidRPr="00AB5B85">
        <w:rPr>
          <w:lang w:val="en-BE"/>
        </w:rPr>
        <w:t>Document and share stories of women using Indigenous foods to address health issues, fostering empathy and global understanding</w:t>
      </w:r>
      <w:r w:rsidRPr="00AB5B85">
        <w:rPr>
          <w:rFonts w:ascii="Arial" w:hAnsi="Arial" w:cs="Arial"/>
          <w:lang w:val="en-BE"/>
        </w:rPr>
        <w:t>​</w:t>
      </w:r>
      <w:r w:rsidRPr="00AB5B85">
        <w:rPr>
          <w:lang w:val="en-BE"/>
        </w:rPr>
        <w:t>.</w:t>
      </w:r>
    </w:p>
    <w:p w14:paraId="36F6D327" w14:textId="77777777" w:rsidR="00AB5B85" w:rsidRPr="00AB5B85" w:rsidRDefault="00AB5B85" w:rsidP="00AB5B85">
      <w:pPr>
        <w:rPr>
          <w:b/>
          <w:bCs/>
          <w:lang w:val="en-BE"/>
        </w:rPr>
      </w:pPr>
      <w:r w:rsidRPr="00AB5B85">
        <w:rPr>
          <w:b/>
          <w:bCs/>
          <w:lang w:val="en-BE"/>
        </w:rPr>
        <w:t>11. Are the previous legal documents such as Prior and Informed Consent enough, or do they need to be revised?</w:t>
      </w:r>
    </w:p>
    <w:p w14:paraId="360F442E" w14:textId="59E8C613" w:rsidR="00AB5B85" w:rsidRPr="00AB5B85" w:rsidRDefault="00653018" w:rsidP="00AB5B85">
      <w:pPr>
        <w:rPr>
          <w:lang w:val="en-BE"/>
        </w:rPr>
      </w:pPr>
      <w:r w:rsidRPr="00653018">
        <w:rPr>
          <w:lang w:val="en-BE"/>
        </w:rPr>
        <w:t xml:space="preserve">Prior and Informed Consent (FPIC) </w:t>
      </w:r>
      <w:r w:rsidR="00AB5B85" w:rsidRPr="00AB5B85">
        <w:rPr>
          <w:lang w:val="en-BE"/>
        </w:rPr>
        <w:t xml:space="preserve">needs to be strengthened to explicitly consider gender dynamics, ensuring Indigenous women are not sidelined in decision-making processes. Integrating health-focused frameworks like the </w:t>
      </w:r>
      <w:proofErr w:type="spellStart"/>
      <w:r w:rsidR="00AB5B85" w:rsidRPr="00AB5B85">
        <w:rPr>
          <w:lang w:val="en-BE"/>
        </w:rPr>
        <w:t>OneHealth</w:t>
      </w:r>
      <w:proofErr w:type="spellEnd"/>
      <w:r w:rsidR="00AB5B85" w:rsidRPr="00AB5B85">
        <w:rPr>
          <w:lang w:val="en-BE"/>
        </w:rPr>
        <w:t xml:space="preserve"> agenda can further enhance its relevance to women's physical and mental health</w:t>
      </w:r>
      <w:r w:rsidR="00AB5B85" w:rsidRPr="00AB5B85">
        <w:rPr>
          <w:rFonts w:ascii="Arial" w:hAnsi="Arial" w:cs="Arial"/>
          <w:lang w:val="en-BE"/>
        </w:rPr>
        <w:t>​</w:t>
      </w:r>
      <w:r>
        <w:rPr>
          <w:rFonts w:ascii="Arial" w:hAnsi="Arial" w:cs="Arial"/>
          <w:lang w:val="en-BE"/>
        </w:rPr>
        <w:t>.</w:t>
      </w:r>
    </w:p>
    <w:p w14:paraId="7EAF6EF1" w14:textId="77777777" w:rsidR="00EA7121" w:rsidRDefault="00EA7121"/>
    <w:sectPr w:rsidR="00EA71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5669B" w14:textId="77777777" w:rsidR="00F35D7F" w:rsidRDefault="00F35D7F" w:rsidP="00653018">
      <w:pPr>
        <w:spacing w:after="0" w:line="240" w:lineRule="auto"/>
      </w:pPr>
      <w:r>
        <w:separator/>
      </w:r>
    </w:p>
  </w:endnote>
  <w:endnote w:type="continuationSeparator" w:id="0">
    <w:p w14:paraId="3A116A69" w14:textId="77777777" w:rsidR="00F35D7F" w:rsidRDefault="00F35D7F" w:rsidP="0065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E30E" w14:textId="77777777" w:rsidR="00230C19" w:rsidRDefault="00230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8878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626CD" w14:textId="3B89827B" w:rsidR="007C7E6B" w:rsidRDefault="007C7E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6A7F4" w14:textId="77777777" w:rsidR="007C7E6B" w:rsidRDefault="007C7E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38961" w14:textId="77777777" w:rsidR="00230C19" w:rsidRDefault="00230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90863" w14:textId="77777777" w:rsidR="00F35D7F" w:rsidRDefault="00F35D7F" w:rsidP="00653018">
      <w:pPr>
        <w:spacing w:after="0" w:line="240" w:lineRule="auto"/>
      </w:pPr>
      <w:r>
        <w:separator/>
      </w:r>
    </w:p>
  </w:footnote>
  <w:footnote w:type="continuationSeparator" w:id="0">
    <w:p w14:paraId="37B0B1CA" w14:textId="77777777" w:rsidR="00F35D7F" w:rsidRDefault="00F35D7F" w:rsidP="0065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F781C" w14:textId="77777777" w:rsidR="00230C19" w:rsidRDefault="00230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1FD6B" w14:textId="5704EA6C" w:rsidR="00653018" w:rsidRPr="00653018" w:rsidRDefault="00653018" w:rsidP="00653018">
    <w:pPr>
      <w:pStyle w:val="Header"/>
      <w:jc w:val="center"/>
      <w:rPr>
        <w:b/>
        <w:bCs/>
        <w:sz w:val="24"/>
        <w:szCs w:val="24"/>
        <w:lang w:val="en-US"/>
      </w:rPr>
    </w:pPr>
    <w:r w:rsidRPr="00653018">
      <w:rPr>
        <w:b/>
        <w:bCs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40DF7465" wp14:editId="0D5EBDB6">
          <wp:simplePos x="0" y="0"/>
          <wp:positionH relativeFrom="column">
            <wp:posOffset>-700322</wp:posOffset>
          </wp:positionH>
          <wp:positionV relativeFrom="paragraph">
            <wp:posOffset>-314408</wp:posOffset>
          </wp:positionV>
          <wp:extent cx="528320" cy="691515"/>
          <wp:effectExtent l="0" t="0" r="5080" b="0"/>
          <wp:wrapTight wrapText="bothSides">
            <wp:wrapPolygon edited="0">
              <wp:start x="0" y="0"/>
              <wp:lineTo x="0" y="20826"/>
              <wp:lineTo x="21029" y="20826"/>
              <wp:lineTo x="21029" y="0"/>
              <wp:lineTo x="0" y="0"/>
            </wp:wrapPolygon>
          </wp:wrapTight>
          <wp:docPr id="1344608058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608058" name="Picture 1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018">
      <w:rPr>
        <w:b/>
        <w:bCs/>
        <w:sz w:val="24"/>
        <w:szCs w:val="24"/>
        <w:lang w:val="en-US"/>
      </w:rPr>
      <w:t xml:space="preserve">Contribution of </w:t>
    </w:r>
    <w:proofErr w:type="spellStart"/>
    <w:r w:rsidRPr="00653018">
      <w:rPr>
        <w:b/>
        <w:bCs/>
        <w:sz w:val="24"/>
        <w:szCs w:val="24"/>
        <w:lang w:val="en-US"/>
      </w:rPr>
      <w:t>GFAiR</w:t>
    </w:r>
    <w:proofErr w:type="spellEnd"/>
    <w:r w:rsidRPr="00653018">
      <w:rPr>
        <w:b/>
        <w:bCs/>
        <w:sz w:val="24"/>
        <w:szCs w:val="24"/>
        <w:lang w:val="en-US"/>
      </w:rPr>
      <w:t xml:space="preserve"> to the FAO </w:t>
    </w:r>
    <w:r w:rsidRPr="00653018">
      <w:rPr>
        <w:b/>
        <w:bCs/>
        <w:sz w:val="24"/>
        <w:szCs w:val="24"/>
        <w:lang w:val="en-US"/>
      </w:rPr>
      <w:t xml:space="preserve">e-consultation related to the scope of </w:t>
    </w:r>
    <w:r w:rsidRPr="00653018">
      <w:rPr>
        <w:b/>
        <w:bCs/>
        <w:sz w:val="24"/>
        <w:szCs w:val="24"/>
        <w:lang w:val="en-US"/>
      </w:rPr>
      <w:t xml:space="preserve">the </w:t>
    </w:r>
    <w:r w:rsidR="00230C19" w:rsidRPr="00653018">
      <w:rPr>
        <w:b/>
        <w:bCs/>
        <w:sz w:val="24"/>
        <w:szCs w:val="24"/>
        <w:lang w:val="en-US"/>
      </w:rPr>
      <w:t>High-Level</w:t>
    </w:r>
    <w:r w:rsidRPr="00653018">
      <w:rPr>
        <w:b/>
        <w:bCs/>
        <w:sz w:val="24"/>
        <w:szCs w:val="24"/>
        <w:lang w:val="en-US"/>
      </w:rPr>
      <w:t xml:space="preserve"> Panel of Experts on Food Security and Nutrition (HLPE-FSN) report</w:t>
    </w:r>
  </w:p>
  <w:p w14:paraId="2BDE2F9D" w14:textId="72A202AE" w:rsidR="00653018" w:rsidRPr="00230C19" w:rsidRDefault="00653018" w:rsidP="00653018">
    <w:pPr>
      <w:pStyle w:val="Header"/>
      <w:jc w:val="center"/>
      <w:rPr>
        <w:b/>
        <w:bCs/>
        <w:i/>
        <w:iCs/>
        <w:sz w:val="24"/>
        <w:szCs w:val="24"/>
        <w:lang w:val="en-US"/>
      </w:rPr>
    </w:pPr>
    <w:r w:rsidRPr="00230C19">
      <w:rPr>
        <w:b/>
        <w:bCs/>
        <w:i/>
        <w:iCs/>
        <w:sz w:val="24"/>
        <w:szCs w:val="24"/>
        <w:lang w:val="en-US"/>
      </w:rPr>
      <w:t>"Preserving, strengthening and promoting Indigenous Peoples’ food and knowledge systems and traditional practices for sustainable food systems"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C555A" w14:textId="77777777" w:rsidR="00230C19" w:rsidRDefault="00230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CE9"/>
    <w:multiLevelType w:val="multilevel"/>
    <w:tmpl w:val="FA309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35000"/>
    <w:multiLevelType w:val="multilevel"/>
    <w:tmpl w:val="C80E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95AB7"/>
    <w:multiLevelType w:val="multilevel"/>
    <w:tmpl w:val="BA96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A75F7"/>
    <w:multiLevelType w:val="multilevel"/>
    <w:tmpl w:val="A282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96B99"/>
    <w:multiLevelType w:val="multilevel"/>
    <w:tmpl w:val="16DA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445C3"/>
    <w:multiLevelType w:val="multilevel"/>
    <w:tmpl w:val="F858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83B65"/>
    <w:multiLevelType w:val="multilevel"/>
    <w:tmpl w:val="A3FC9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B0265"/>
    <w:multiLevelType w:val="multilevel"/>
    <w:tmpl w:val="F5F0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F0C5D"/>
    <w:multiLevelType w:val="multilevel"/>
    <w:tmpl w:val="1030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A59C4"/>
    <w:multiLevelType w:val="multilevel"/>
    <w:tmpl w:val="F9E6A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93CF7"/>
    <w:multiLevelType w:val="multilevel"/>
    <w:tmpl w:val="2182D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319C5"/>
    <w:multiLevelType w:val="multilevel"/>
    <w:tmpl w:val="93E0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568A2"/>
    <w:multiLevelType w:val="multilevel"/>
    <w:tmpl w:val="A84E51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1039C"/>
    <w:multiLevelType w:val="multilevel"/>
    <w:tmpl w:val="4E72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4E6569"/>
    <w:multiLevelType w:val="multilevel"/>
    <w:tmpl w:val="91FAA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825A52"/>
    <w:multiLevelType w:val="multilevel"/>
    <w:tmpl w:val="9B30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A62869"/>
    <w:multiLevelType w:val="multilevel"/>
    <w:tmpl w:val="E5962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08020740">
    <w:abstractNumId w:val="8"/>
  </w:num>
  <w:num w:numId="2" w16cid:durableId="2086342552">
    <w:abstractNumId w:val="7"/>
  </w:num>
  <w:num w:numId="3" w16cid:durableId="927813277">
    <w:abstractNumId w:val="15"/>
  </w:num>
  <w:num w:numId="4" w16cid:durableId="1835140286">
    <w:abstractNumId w:val="3"/>
  </w:num>
  <w:num w:numId="5" w16cid:durableId="419261020">
    <w:abstractNumId w:val="2"/>
  </w:num>
  <w:num w:numId="6" w16cid:durableId="2127457640">
    <w:abstractNumId w:val="5"/>
  </w:num>
  <w:num w:numId="7" w16cid:durableId="1125002378">
    <w:abstractNumId w:val="1"/>
  </w:num>
  <w:num w:numId="8" w16cid:durableId="871529796">
    <w:abstractNumId w:val="11"/>
  </w:num>
  <w:num w:numId="9" w16cid:durableId="1416318720">
    <w:abstractNumId w:val="13"/>
  </w:num>
  <w:num w:numId="10" w16cid:durableId="718866896">
    <w:abstractNumId w:val="0"/>
  </w:num>
  <w:num w:numId="11" w16cid:durableId="1707368568">
    <w:abstractNumId w:val="4"/>
  </w:num>
  <w:num w:numId="12" w16cid:durableId="1036661749">
    <w:abstractNumId w:val="6"/>
  </w:num>
  <w:num w:numId="13" w16cid:durableId="1455296751">
    <w:abstractNumId w:val="16"/>
  </w:num>
  <w:num w:numId="14" w16cid:durableId="921571254">
    <w:abstractNumId w:val="9"/>
  </w:num>
  <w:num w:numId="15" w16cid:durableId="582102217">
    <w:abstractNumId w:val="14"/>
  </w:num>
  <w:num w:numId="16" w16cid:durableId="1315253280">
    <w:abstractNumId w:val="10"/>
  </w:num>
  <w:num w:numId="17" w16cid:durableId="510410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85"/>
    <w:rsid w:val="000E21A6"/>
    <w:rsid w:val="00230C19"/>
    <w:rsid w:val="004177E9"/>
    <w:rsid w:val="005726E2"/>
    <w:rsid w:val="00653018"/>
    <w:rsid w:val="007C7E6B"/>
    <w:rsid w:val="00AB5B85"/>
    <w:rsid w:val="00EA7121"/>
    <w:rsid w:val="00F35D7F"/>
    <w:rsid w:val="00F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238665"/>
  <w15:chartTrackingRefBased/>
  <w15:docId w15:val="{83C6255D-4169-4FE2-B709-AFF646B6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B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B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B8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B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B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B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B85"/>
    <w:rPr>
      <w:rFonts w:eastAsiaTheme="majorEastAsia" w:cstheme="majorBidi"/>
      <w:color w:val="2E74B5" w:themeColor="accent1" w:themeShade="BF"/>
      <w:sz w:val="28"/>
      <w:szCs w:val="28"/>
      <w:lang w:val="en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B85"/>
    <w:rPr>
      <w:rFonts w:eastAsiaTheme="majorEastAsia" w:cstheme="majorBidi"/>
      <w:i/>
      <w:iCs/>
      <w:color w:val="2E74B5" w:themeColor="accent1" w:themeShade="BF"/>
      <w:lang w:val="en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B85"/>
    <w:rPr>
      <w:rFonts w:eastAsiaTheme="majorEastAsia" w:cstheme="majorBidi"/>
      <w:color w:val="2E74B5" w:themeColor="accent1" w:themeShade="BF"/>
      <w:lang w:val="en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B85"/>
    <w:rPr>
      <w:rFonts w:eastAsiaTheme="majorEastAsia" w:cstheme="majorBidi"/>
      <w:i/>
      <w:iCs/>
      <w:color w:val="595959" w:themeColor="text1" w:themeTint="A6"/>
      <w:lang w:val="en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B85"/>
    <w:rPr>
      <w:rFonts w:eastAsiaTheme="majorEastAsia" w:cstheme="majorBidi"/>
      <w:color w:val="595959" w:themeColor="text1" w:themeTint="A6"/>
      <w:lang w:val="en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B85"/>
    <w:rPr>
      <w:rFonts w:eastAsiaTheme="majorEastAsia" w:cstheme="majorBidi"/>
      <w:i/>
      <w:iCs/>
      <w:color w:val="272727" w:themeColor="text1" w:themeTint="D8"/>
      <w:lang w:val="en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B85"/>
    <w:rPr>
      <w:rFonts w:eastAsiaTheme="majorEastAsia" w:cstheme="majorBidi"/>
      <w:color w:val="272727" w:themeColor="text1" w:themeTint="D8"/>
      <w:lang w:val="en-BE"/>
    </w:rPr>
  </w:style>
  <w:style w:type="paragraph" w:styleId="Title">
    <w:name w:val="Title"/>
    <w:basedOn w:val="Normal"/>
    <w:next w:val="Normal"/>
    <w:link w:val="TitleChar"/>
    <w:uiPriority w:val="10"/>
    <w:qFormat/>
    <w:rsid w:val="00AB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B85"/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B85"/>
    <w:rPr>
      <w:rFonts w:eastAsiaTheme="majorEastAsia" w:cstheme="majorBidi"/>
      <w:color w:val="595959" w:themeColor="text1" w:themeTint="A6"/>
      <w:spacing w:val="15"/>
      <w:sz w:val="28"/>
      <w:szCs w:val="28"/>
      <w:lang w:val="en-BE"/>
    </w:rPr>
  </w:style>
  <w:style w:type="paragraph" w:styleId="Quote">
    <w:name w:val="Quote"/>
    <w:basedOn w:val="Normal"/>
    <w:next w:val="Normal"/>
    <w:link w:val="QuoteChar"/>
    <w:uiPriority w:val="29"/>
    <w:qFormat/>
    <w:rsid w:val="00AB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B85"/>
    <w:rPr>
      <w:i/>
      <w:iCs/>
      <w:color w:val="404040" w:themeColor="text1" w:themeTint="BF"/>
      <w:lang w:val="en-BE"/>
    </w:rPr>
  </w:style>
  <w:style w:type="paragraph" w:styleId="ListParagraph">
    <w:name w:val="List Paragraph"/>
    <w:basedOn w:val="Normal"/>
    <w:uiPriority w:val="34"/>
    <w:qFormat/>
    <w:rsid w:val="00AB5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B8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B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B85"/>
    <w:rPr>
      <w:i/>
      <w:iCs/>
      <w:color w:val="2E74B5" w:themeColor="accent1" w:themeShade="BF"/>
      <w:lang w:val="en-BE"/>
    </w:rPr>
  </w:style>
  <w:style w:type="character" w:styleId="IntenseReference">
    <w:name w:val="Intense Reference"/>
    <w:basedOn w:val="DefaultParagraphFont"/>
    <w:uiPriority w:val="32"/>
    <w:qFormat/>
    <w:rsid w:val="00AB5B8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0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018"/>
    <w:rPr>
      <w:lang w:val="en-BE"/>
    </w:rPr>
  </w:style>
  <w:style w:type="paragraph" w:styleId="Footer">
    <w:name w:val="footer"/>
    <w:basedOn w:val="Normal"/>
    <w:link w:val="FooterChar"/>
    <w:uiPriority w:val="99"/>
    <w:unhideWhenUsed/>
    <w:rsid w:val="0065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018"/>
    <w:rPr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foodbridge.org/index.php/food-heritage-project/194-food-heritage-projec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o.org/fsnforum/consultation/indigenous-peoples-food-and-knowledge-system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aepard.blogspot.com/2024/10/in-spotlight-nutrition-in-first-10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maal.co.uk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Stepman</dc:creator>
  <cp:keywords/>
  <dc:description/>
  <cp:lastModifiedBy>Francois Stepman</cp:lastModifiedBy>
  <cp:revision>2</cp:revision>
  <dcterms:created xsi:type="dcterms:W3CDTF">2024-12-13T08:47:00Z</dcterms:created>
  <dcterms:modified xsi:type="dcterms:W3CDTF">2024-12-13T09:22:00Z</dcterms:modified>
</cp:coreProperties>
</file>