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81129" w14:textId="4A7CF860" w:rsidR="004556F3" w:rsidRDefault="004556F3" w:rsidP="004556F3">
      <w:pPr>
        <w:pStyle w:val="Heading1"/>
        <w:rPr>
          <w:rFonts w:ascii="Calibri" w:hAnsi="Calibri" w:cs="Calibri"/>
          <w:rtl/>
        </w:rPr>
      </w:pPr>
      <w:r w:rsidRPr="004556F3">
        <w:rPr>
          <w:rFonts w:ascii="Calibri" w:hAnsi="Calibri" w:cs="Calibri"/>
          <w:rtl/>
        </w:rPr>
        <w:t>برامج المنح المقابلة: هل هي نهجُ فعال لتوجيه الحوالات المالية نحو الاستثمار المستدام في الأعمال التجارية الزراعية؟</w:t>
      </w:r>
    </w:p>
    <w:p w14:paraId="37516A25" w14:textId="77777777" w:rsidR="000005B4" w:rsidRPr="000005B4" w:rsidRDefault="000005B4" w:rsidP="000005B4"/>
    <w:p w14:paraId="6E8D9F3E" w14:textId="0C66B0F1" w:rsidR="004556F3" w:rsidRDefault="004556F3" w:rsidP="004556F3">
      <w:pPr>
        <w:pStyle w:val="Style1"/>
        <w:rPr>
          <w:rtl/>
        </w:rPr>
      </w:pPr>
    </w:p>
    <w:p w14:paraId="18D2DE4E" w14:textId="017205C4" w:rsidR="004556F3" w:rsidRPr="005F273B" w:rsidRDefault="000005B4" w:rsidP="004556F3">
      <w:pPr>
        <w:pStyle w:val="Style1"/>
        <w:rPr>
          <w:rtl/>
        </w:rPr>
      </w:pPr>
      <w:r w:rsidRPr="00CE1A1B">
        <w:rPr>
          <w:noProof/>
          <w:lang w:eastAsia="en-US"/>
        </w:rPr>
        <w:drawing>
          <wp:anchor distT="0" distB="0" distL="114300" distR="114300" simplePos="0" relativeHeight="251659264" behindDoc="0" locked="0" layoutInCell="1" allowOverlap="1" wp14:anchorId="2BCE3241" wp14:editId="0E53CEB4">
            <wp:simplePos x="0" y="0"/>
            <wp:positionH relativeFrom="margin">
              <wp:align>left</wp:align>
            </wp:positionH>
            <wp:positionV relativeFrom="paragraph">
              <wp:posOffset>10160</wp:posOffset>
            </wp:positionV>
            <wp:extent cx="1647825" cy="2009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_MDF.jpg"/>
                    <pic:cNvPicPr/>
                  </pic:nvPicPr>
                  <pic:blipFill>
                    <a:blip r:embed="rId8">
                      <a:extLst>
                        <a:ext uri="{28A0092B-C50C-407E-A947-70E740481C1C}">
                          <a14:useLocalDpi xmlns:a14="http://schemas.microsoft.com/office/drawing/2010/main" val="0"/>
                        </a:ext>
                      </a:extLst>
                    </a:blip>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004556F3" w:rsidRPr="005F273B">
        <w:rPr>
          <w:rtl/>
        </w:rPr>
        <w:t>شهدت العقود الأخيرة ارتفاعًا كبيرًا في هجرة اليد العاملة العالمية في جميع أنحاء العالم، ولا سيما الفترة 2013-2019 التي سجلت ارتفاعًا بنسبة 12.7 في المائة – حيث زاد عدد المهاجرين من 150 مليون إلى 169 مليون عاملا مهاجرًا</w:t>
      </w:r>
      <w:r w:rsidR="004556F3" w:rsidRPr="005F273B">
        <w:rPr>
          <w:rStyle w:val="FootnoteReference"/>
          <w:rFonts w:ascii="Arial" w:hAnsi="Arial" w:cs="Arial"/>
          <w:sz w:val="28"/>
          <w:szCs w:val="28"/>
          <w:rtl/>
        </w:rPr>
        <w:footnoteReference w:id="1"/>
      </w:r>
      <w:r w:rsidR="004556F3" w:rsidRPr="005F273B">
        <w:rPr>
          <w:rtl/>
        </w:rPr>
        <w:t>. وتكمن العديد من الفوائد المهمة في صميم هذه الظاهرة، ومنها على سبيل المثال لا الحصر، التدفق الواسع للحوالات التي يرسلها المهاجرون إلى مجتمعاتهم الأصلية، فضلاً عن المعرفة والمهارات التي يكتسبها المهاجرون أثناء تواجدهم في الخارج، والتي ينقلونها أو يعودون بها إلى مجتمعاتهم. ومع تعافي الاقتصاد العالمي، واستئناف الحركة عبر الحدود في سياق جائحة كوفيد-19، من المتوقع حدوث طفرة كبيرة في الحوالات المالية إلى المناطق الريفية. والأهم من ذلك، يمكن توجيه هذه ال</w:t>
      </w:r>
      <w:bookmarkStart w:id="0" w:name="_GoBack"/>
      <w:bookmarkEnd w:id="0"/>
      <w:r w:rsidR="004556F3" w:rsidRPr="005F273B">
        <w:rPr>
          <w:rtl/>
        </w:rPr>
        <w:t>كمية الهائلة من الموارد نحو الاستثمار في الأعمال التجارية الزراعية، مما يساعد بدوره على تعزيز الإنتاج الغذائي المستدام والجيد وخلق فرص العمل، وبالتالي تحسين الدخل والتغذية في الريف.</w:t>
      </w:r>
    </w:p>
    <w:p w14:paraId="77AAC280" w14:textId="77777777" w:rsidR="004556F3" w:rsidRPr="000B3788" w:rsidRDefault="004556F3" w:rsidP="004556F3">
      <w:pPr>
        <w:pStyle w:val="Style1"/>
      </w:pPr>
      <w:r w:rsidRPr="000B3788">
        <w:rPr>
          <w:rtl/>
        </w:rPr>
        <w:t>ولكن على أرض الواقع، غالبًا ما يفتقر المهاجرون ومتلق</w:t>
      </w:r>
      <w:r w:rsidRPr="000B3788">
        <w:rPr>
          <w:rtl/>
          <w:lang w:bidi="ar-EG"/>
        </w:rPr>
        <w:t>و</w:t>
      </w:r>
      <w:r w:rsidRPr="000B3788">
        <w:rPr>
          <w:rtl/>
        </w:rPr>
        <w:t xml:space="preserve"> الحوالات إلى الموارد المالية الكافية والقدرات الفنية وإمكانات تطوير الأعمال اللازمة لاستثمار الحوالات استثمارًا منتجًا في الزراعة. وقد استكشفت بعض البلدان سبل معالجة هذه المشكلات، وكانت برامج المنح المقابلة</w:t>
      </w:r>
      <w:r w:rsidRPr="000B3788">
        <w:rPr>
          <w:rStyle w:val="FootnoteReference"/>
          <w:rFonts w:ascii="Cambria" w:hAnsi="Cambria" w:cs="Arial"/>
          <w:sz w:val="28"/>
          <w:szCs w:val="28"/>
          <w:rtl/>
        </w:rPr>
        <w:footnoteReference w:id="2"/>
      </w:r>
      <w:r w:rsidRPr="000B3788">
        <w:rPr>
          <w:rtl/>
        </w:rPr>
        <w:t xml:space="preserve"> من أمثلة المبادرات التي استهدفت هذا السياق، ويٌقصد بهذا النوع من المنح تحويل مبلغ نقدي لمرة واحدة إلى المستفيدين من المشروع دون مطالبتهم بتسديده، ويحصل عليه المستفيد (المهاجر) بنسبة معينة تُحسب على أساس مبلغ الحوالات التي يستثمرها استثمارًا منتجًا. بالإضافة إلى ذلك، زودت برامج المنح المقابلة المستفيدين بالتدريب اللازم لتطوير المهارات الفنية والتجارية التي يحتاجون إليها لإقامة الأعمال التجارية الزراعية وإدارتها. وتشير الدلائل إلى أن هذه البرامج قد أثرت تأثيرًا إيجابيًا على أداء المشروعات الصغيرة والمتوسطة من حيث الإيرادات والأرباح والإنتاجية، وعلى قدرتها على خلق فرص العمل</w:t>
      </w:r>
      <w:r w:rsidRPr="000B3788">
        <w:rPr>
          <w:rStyle w:val="FootnoteReference"/>
          <w:rFonts w:ascii="Cambria" w:hAnsi="Cambria" w:cs="Arial"/>
          <w:sz w:val="28"/>
          <w:szCs w:val="28"/>
          <w:rtl/>
        </w:rPr>
        <w:footnoteReference w:id="3"/>
      </w:r>
      <w:r w:rsidRPr="000B3788">
        <w:rPr>
          <w:rtl/>
        </w:rPr>
        <w:t>.</w:t>
      </w:r>
    </w:p>
    <w:p w14:paraId="33676631" w14:textId="77777777" w:rsidR="004556F3" w:rsidRPr="005F273B" w:rsidRDefault="004556F3" w:rsidP="004556F3">
      <w:pPr>
        <w:pStyle w:val="Style1"/>
        <w:rPr>
          <w:rtl/>
        </w:rPr>
      </w:pPr>
      <w:r w:rsidRPr="005F273B">
        <w:rPr>
          <w:rtl/>
        </w:rPr>
        <w:lastRenderedPageBreak/>
        <w:t>تقوم منظمة الأغذية والزراعة للأمم المتحدة، من خلال شعبة اقتصاد النظم الغذائية والزراعية، بدعم الدول الأعضاء في وضع سياسات وبرامج قائمة على الأدلة لدعم المهاجرين والعائدين وأسرهم، في الاستثمار في تطوير الأعمال التجارية الزراعية. ومن أمثلة هذا الدعم، تنفيذ مشروع تجريبي في طاجيكستان لجمع مزيد من الأفكار حول استخدام برنامج للمنح المقابلة لتحقيق هذا الهدف</w:t>
      </w:r>
      <w:r w:rsidRPr="005F273B">
        <w:rPr>
          <w:rStyle w:val="FootnoteReference"/>
          <w:rFonts w:ascii="Arial" w:hAnsi="Arial" w:cs="Arial"/>
          <w:sz w:val="28"/>
          <w:szCs w:val="28"/>
          <w:rtl/>
        </w:rPr>
        <w:footnoteReference w:id="4"/>
      </w:r>
      <w:r w:rsidRPr="005F273B">
        <w:rPr>
          <w:rtl/>
        </w:rPr>
        <w:t>. وكان الغرض من تنظيم هذه المشاورة هو المساعدة في زيادة صقل وتحسين تصميم البرامج والسياسات من خلال جمع وجهات نظر مجموعة واسعة من الأطراف المعنية حول قدرة برامج المنح المقابلة لتحسين سبل المعيشة الريفية والتغذية بشكلٍ مستدامٍ من خلال تشجيع الاستثمارات في القطاع الزراعي. كما تهدف إلى جمع المعلومات حول برامج المنح المقابلة التي تم تنفيذها بالفعل. وسوف تسترشد التوصيات القائمة على الأدلة بالتعقيبات المقدمة للبلدان المهتمة بتطبيق نهج المنح المقابلة. وندعو المشاركين للإجابة على أسئلة المناقشة التالية:</w:t>
      </w:r>
    </w:p>
    <w:p w14:paraId="5861711B" w14:textId="77777777" w:rsidR="004556F3" w:rsidRPr="000005B4" w:rsidRDefault="004556F3" w:rsidP="004556F3">
      <w:pPr>
        <w:pStyle w:val="Style1"/>
        <w:numPr>
          <w:ilvl w:val="0"/>
          <w:numId w:val="16"/>
        </w:numPr>
        <w:ind w:left="714" w:hanging="357"/>
        <w:contextualSpacing/>
        <w:rPr>
          <w:i/>
        </w:rPr>
      </w:pPr>
      <w:r w:rsidRPr="000005B4">
        <w:rPr>
          <w:i/>
          <w:rtl/>
        </w:rPr>
        <w:t>هل تعتقد أن الحكومات يجب أن تبذل جهودًا لتشجيع استثمارات المهاجرين والعائدين في الأعمال التجارية الزراعية في المناطق الريفية التي تشهد ارتفاعًا في معدلات هجرة اليد العاملة إلى الخارج؟ ما هو الدور الذي ينبغي أن تضطلع به الأطراف المعنية الأخرى (المنظمات غير الحكومية، والأوساط الأكاديمية، والمنظمات الدولية، والجهات المانحة، وغيرها) في سبيل تعزيز مثل هذه الاستثمارات؟</w:t>
      </w:r>
    </w:p>
    <w:p w14:paraId="2D3D0AED" w14:textId="77777777" w:rsidR="004556F3" w:rsidRPr="000005B4" w:rsidRDefault="004556F3" w:rsidP="004556F3">
      <w:pPr>
        <w:pStyle w:val="Style1"/>
        <w:numPr>
          <w:ilvl w:val="0"/>
          <w:numId w:val="16"/>
        </w:numPr>
        <w:ind w:left="714" w:hanging="357"/>
        <w:contextualSpacing/>
        <w:rPr>
          <w:i/>
        </w:rPr>
      </w:pPr>
      <w:r w:rsidRPr="000005B4">
        <w:rPr>
          <w:i/>
          <w:rtl/>
        </w:rPr>
        <w:t xml:space="preserve">في رأيك، ما هي إيجابيات وسلبيات برامج المنح المقابلة؟ وما الذي يجب وضعه في الاعتبار عند الترويج لها ونشرها؟ </w:t>
      </w:r>
    </w:p>
    <w:p w14:paraId="19D8F214" w14:textId="77777777" w:rsidR="004556F3" w:rsidRPr="000005B4" w:rsidRDefault="004556F3" w:rsidP="004556F3">
      <w:pPr>
        <w:pStyle w:val="Style1"/>
        <w:numPr>
          <w:ilvl w:val="0"/>
          <w:numId w:val="16"/>
        </w:numPr>
        <w:ind w:left="714" w:hanging="357"/>
        <w:contextualSpacing/>
        <w:rPr>
          <w:i/>
        </w:rPr>
      </w:pPr>
      <w:r w:rsidRPr="000005B4">
        <w:rPr>
          <w:i/>
          <w:rtl/>
        </w:rPr>
        <w:t>ما هي النماذج أو النُهج الأخرى التي توصي بها لتشجيع استثمار التحويلات المالية في الزراعة والأعمال التجارية الزراعية؟ وهل تعتقد أن تلك النماذج أو النهج أفضل من برامج المنح المقابلة، ولماذا؟</w:t>
      </w:r>
    </w:p>
    <w:p w14:paraId="32CBA3C9" w14:textId="4C29049F" w:rsidR="004556F3" w:rsidRPr="000005B4" w:rsidRDefault="004556F3" w:rsidP="004556F3">
      <w:pPr>
        <w:pStyle w:val="Style1"/>
        <w:numPr>
          <w:ilvl w:val="0"/>
          <w:numId w:val="16"/>
        </w:numPr>
        <w:rPr>
          <w:i/>
          <w:rtl/>
        </w:rPr>
      </w:pPr>
      <w:r w:rsidRPr="000005B4">
        <w:rPr>
          <w:i/>
          <w:rtl/>
        </w:rPr>
        <w:t xml:space="preserve">هل لديك معلومات عن برامج المنح المقابلة – </w:t>
      </w:r>
      <w:r w:rsidRPr="000005B4">
        <w:rPr>
          <w:rFonts w:hint="cs"/>
          <w:i/>
          <w:rtl/>
        </w:rPr>
        <w:t>المستوفية</w:t>
      </w:r>
      <w:r w:rsidRPr="000005B4">
        <w:rPr>
          <w:i/>
          <w:rtl/>
        </w:rPr>
        <w:t xml:space="preserve"> </w:t>
      </w:r>
      <w:r w:rsidRPr="000005B4">
        <w:rPr>
          <w:rFonts w:hint="cs"/>
          <w:i/>
          <w:rtl/>
        </w:rPr>
        <w:t>ل</w:t>
      </w:r>
      <w:r w:rsidRPr="000005B4">
        <w:rPr>
          <w:i/>
          <w:rtl/>
        </w:rPr>
        <w:t>لمعايير الموضحة أدناه - التي تم تنفيذها لتوجيه التحويلات المالية نحو تنمية الأعمال التجارية الزراعية؟ إذا كانت الإجابة بنعم، يُرجى كتابة اسم البرنامج والبلد الذي نُفذ فيه، ومصادر المعلومات التكميلية، مثل الدراسات وتقييمات منتصف المدة أو تقييم الأثر والروابط إلى المواقع الإلكترونية ذات الصلة، وما شابه ذلك من معلومات.</w:t>
      </w:r>
    </w:p>
    <w:p w14:paraId="79E552C3" w14:textId="22DBF06F" w:rsidR="004556F3" w:rsidRDefault="004556F3" w:rsidP="004556F3">
      <w:pPr>
        <w:pStyle w:val="Style1"/>
        <w:rPr>
          <w:b/>
          <w:bCs/>
          <w:rtl/>
        </w:rPr>
      </w:pPr>
      <w:r w:rsidRPr="004556F3">
        <w:rPr>
          <w:b/>
          <w:bCs/>
          <w:rtl/>
        </w:rPr>
        <w:t>معايير البرنامج</w:t>
      </w:r>
    </w:p>
    <w:p w14:paraId="520C6447" w14:textId="77777777" w:rsidR="004556F3" w:rsidRPr="005F273B" w:rsidRDefault="004556F3" w:rsidP="004556F3">
      <w:pPr>
        <w:pStyle w:val="Style1"/>
        <w:numPr>
          <w:ilvl w:val="0"/>
          <w:numId w:val="18"/>
        </w:numPr>
        <w:ind w:left="714" w:hanging="357"/>
        <w:contextualSpacing/>
      </w:pPr>
      <w:r w:rsidRPr="005F273B">
        <w:rPr>
          <w:rtl/>
        </w:rPr>
        <w:t>ينبغي أن يكون البرنامج من برامج المنح المقابلة، وينبغي أن تكون مساهمة المستفيد فيه نقدية. بإمكانك طرح أمثلة من البرامج التي تتفاوت حصص مساهمة الجهات الفاعلة المشاركة فيها في الاستثمار (أي المستفيد والجهة المانحة، على سبيل المثال 1:1، 2: 1، وهكذا).</w:t>
      </w:r>
    </w:p>
    <w:p w14:paraId="406FD0BC" w14:textId="77777777" w:rsidR="004556F3" w:rsidRPr="005F273B" w:rsidRDefault="004556F3" w:rsidP="004556F3">
      <w:pPr>
        <w:pStyle w:val="Style1"/>
        <w:numPr>
          <w:ilvl w:val="0"/>
          <w:numId w:val="18"/>
        </w:numPr>
        <w:ind w:left="714" w:hanging="357"/>
        <w:contextualSpacing/>
      </w:pPr>
      <w:r w:rsidRPr="005F273B">
        <w:rPr>
          <w:rtl/>
        </w:rPr>
        <w:t>ينبغي أن يكون الجمهور المستهدف هو المهاجرين أو العائدين أو أقارب المهاجر من الدرجة الأولى.</w:t>
      </w:r>
    </w:p>
    <w:p w14:paraId="1CA78714" w14:textId="2E3B14DD" w:rsidR="004556F3" w:rsidRDefault="004556F3" w:rsidP="004556F3">
      <w:pPr>
        <w:pStyle w:val="Style1"/>
        <w:numPr>
          <w:ilvl w:val="0"/>
          <w:numId w:val="18"/>
        </w:numPr>
        <w:rPr>
          <w:rtl/>
        </w:rPr>
      </w:pPr>
      <w:r w:rsidRPr="005F273B">
        <w:rPr>
          <w:rtl/>
        </w:rPr>
        <w:t>ينبغي أن يكون الهدف من برنامج المنح المقابلة هو تعزيز مشروعات التنمية الريفية (ينبغي أن ينصب محور التركيز الرئيسي على الزراعة أو مصايد الأسماك أو الغابات).</w:t>
      </w:r>
    </w:p>
    <w:p w14:paraId="246221CC" w14:textId="76409A59" w:rsidR="004556F3" w:rsidRDefault="004556F3" w:rsidP="004556F3">
      <w:pPr>
        <w:pStyle w:val="Style1"/>
        <w:rPr>
          <w:rtl/>
        </w:rPr>
      </w:pPr>
      <w:r w:rsidRPr="004556F3">
        <w:rPr>
          <w:rtl/>
        </w:rPr>
        <w:t>يرتبط تأثير الهجرة ودوافعها ارتباطًا وثيقًا بإطار العمل الاستراتيجي لمنظمة الأغذية والزراعة. وسوف تسترشد نماذج منظمة الأغذية والزراعة بنتائج هذه المشاورة لدعم البلدان في تصميم وتنفيذ سياسات أفضل لتسخير الإمكانات الإنمائية للحوالات المالية في المناطق الريفية.</w:t>
      </w:r>
    </w:p>
    <w:p w14:paraId="48F92E85" w14:textId="77777777" w:rsidR="004556F3" w:rsidRPr="005F273B" w:rsidRDefault="004556F3" w:rsidP="004556F3">
      <w:pPr>
        <w:pStyle w:val="Style1"/>
        <w:rPr>
          <w:rtl/>
        </w:rPr>
      </w:pPr>
      <w:r w:rsidRPr="005F273B">
        <w:rPr>
          <w:rtl/>
        </w:rPr>
        <w:t>إننا نتطلع إلى التواصل معك.</w:t>
      </w:r>
    </w:p>
    <w:p w14:paraId="1A7A935D" w14:textId="77777777" w:rsidR="004556F3" w:rsidRPr="005F273B" w:rsidRDefault="004556F3" w:rsidP="004556F3">
      <w:pPr>
        <w:pStyle w:val="Style1"/>
        <w:rPr>
          <w:rtl/>
        </w:rPr>
      </w:pPr>
      <w:r w:rsidRPr="005F273B">
        <w:rPr>
          <w:rtl/>
        </w:rPr>
        <w:t xml:space="preserve">شكرًا لك على مساهمتك القيمة في هذه المشاورة، </w:t>
      </w:r>
    </w:p>
    <w:p w14:paraId="6B74119A" w14:textId="77777777" w:rsidR="004556F3" w:rsidRPr="000005B4" w:rsidRDefault="004556F3" w:rsidP="000005B4">
      <w:pPr>
        <w:pStyle w:val="Style1"/>
        <w:spacing w:after="0"/>
        <w:rPr>
          <w:i/>
          <w:rtl/>
        </w:rPr>
      </w:pPr>
      <w:proofErr w:type="spellStart"/>
      <w:r w:rsidRPr="000005B4">
        <w:rPr>
          <w:i/>
          <w:rtl/>
        </w:rPr>
        <w:t>موريسيو</w:t>
      </w:r>
      <w:proofErr w:type="spellEnd"/>
      <w:r w:rsidRPr="000005B4">
        <w:rPr>
          <w:i/>
          <w:rtl/>
        </w:rPr>
        <w:t xml:space="preserve"> </w:t>
      </w:r>
      <w:proofErr w:type="spellStart"/>
      <w:r w:rsidRPr="000005B4">
        <w:rPr>
          <w:i/>
          <w:rtl/>
        </w:rPr>
        <w:t>روساليس</w:t>
      </w:r>
      <w:proofErr w:type="spellEnd"/>
      <w:r w:rsidRPr="000005B4">
        <w:rPr>
          <w:i/>
          <w:rtl/>
        </w:rPr>
        <w:t xml:space="preserve">، مسؤول تنمية القدرات ومنسق المشروع الأول، </w:t>
      </w:r>
    </w:p>
    <w:p w14:paraId="5ED43156" w14:textId="77777777" w:rsidR="004556F3" w:rsidRPr="000005B4" w:rsidRDefault="004556F3" w:rsidP="000005B4">
      <w:pPr>
        <w:pStyle w:val="Style1"/>
        <w:spacing w:after="0"/>
        <w:rPr>
          <w:i/>
        </w:rPr>
      </w:pPr>
      <w:r w:rsidRPr="000005B4">
        <w:rPr>
          <w:i/>
          <w:rtl/>
        </w:rPr>
        <w:t xml:space="preserve">شعبة اقتصاد النظم الغذائية والزراعية، منظمة الأغذية والزراعة. </w:t>
      </w:r>
    </w:p>
    <w:p w14:paraId="276E2E76" w14:textId="77777777" w:rsidR="004556F3" w:rsidRPr="004556F3" w:rsidRDefault="004556F3" w:rsidP="004556F3">
      <w:pPr>
        <w:pStyle w:val="Style1"/>
        <w:rPr>
          <w:rtl/>
        </w:rPr>
      </w:pPr>
    </w:p>
    <w:p w14:paraId="2B9C4079" w14:textId="77777777" w:rsidR="004556F3" w:rsidRPr="005F273B" w:rsidRDefault="004556F3" w:rsidP="004556F3">
      <w:pPr>
        <w:pStyle w:val="Style1"/>
      </w:pPr>
    </w:p>
    <w:p w14:paraId="6AA39442" w14:textId="77777777" w:rsidR="004556F3" w:rsidRPr="004556F3" w:rsidRDefault="004556F3" w:rsidP="004556F3">
      <w:pPr>
        <w:pStyle w:val="Style1"/>
        <w:rPr>
          <w:b/>
          <w:bCs/>
        </w:rPr>
      </w:pPr>
    </w:p>
    <w:p w14:paraId="5CA32593" w14:textId="77777777" w:rsidR="004556F3" w:rsidRPr="005F273B" w:rsidRDefault="004556F3" w:rsidP="004556F3">
      <w:pPr>
        <w:pStyle w:val="Style1"/>
      </w:pPr>
    </w:p>
    <w:p w14:paraId="3B29290B" w14:textId="77777777" w:rsidR="004556F3" w:rsidRPr="00957E76" w:rsidRDefault="004556F3" w:rsidP="004556F3">
      <w:pPr>
        <w:pStyle w:val="Style1"/>
      </w:pPr>
    </w:p>
    <w:p w14:paraId="15DE5385" w14:textId="77777777" w:rsidR="00957E76" w:rsidRPr="00957E76" w:rsidRDefault="00957E76" w:rsidP="00957E76">
      <w:pPr>
        <w:ind w:left="-6" w:right="102"/>
        <w:rPr>
          <w:rFonts w:ascii="Calibri" w:hAnsi="Calibri" w:cs="Calibri"/>
          <w:rtl/>
        </w:rPr>
      </w:pPr>
    </w:p>
    <w:p w14:paraId="0547068A" w14:textId="77777777" w:rsidR="00957E76" w:rsidRPr="00957E76" w:rsidRDefault="00957E76" w:rsidP="00957E76">
      <w:pPr>
        <w:spacing w:after="200"/>
        <w:ind w:left="-6" w:right="102"/>
        <w:rPr>
          <w:rFonts w:ascii="Calibri" w:hAnsi="Calibri" w:cs="Calibri"/>
          <w:szCs w:val="22"/>
          <w:rtl/>
        </w:rPr>
      </w:pPr>
    </w:p>
    <w:p w14:paraId="7B454B25" w14:textId="77777777" w:rsidR="00957E76" w:rsidRPr="00957E76" w:rsidRDefault="00957E76" w:rsidP="00957E76"/>
    <w:sectPr w:rsidR="00957E76" w:rsidRPr="00957E76" w:rsidSect="00E22509">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F09D" w14:textId="77777777" w:rsidR="001C5765" w:rsidRDefault="001C5765" w:rsidP="006B1A56">
      <w:r>
        <w:separator/>
      </w:r>
    </w:p>
  </w:endnote>
  <w:endnote w:type="continuationSeparator" w:id="0">
    <w:p w14:paraId="68ABA387" w14:textId="77777777" w:rsidR="001C5765" w:rsidRDefault="001C5765" w:rsidP="006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ubai">
    <w:altName w:val="Segoe UI"/>
    <w:charset w:val="00"/>
    <w:family w:val="swiss"/>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F43E" w14:textId="77777777" w:rsidR="006B1A56" w:rsidRDefault="006B1A56" w:rsidP="006B1A56">
    <w:pPr>
      <w:pStyle w:val="Footer"/>
      <w:rPr>
        <w:lang w:bidi="ar-EG"/>
      </w:rPr>
    </w:pPr>
    <w:r>
      <w:rPr>
        <w:rFonts w:hint="cs"/>
        <w:rtl/>
        <w:lang w:bidi="ar-EG"/>
      </w:rPr>
      <w:t xml:space="preserve"> </w:t>
    </w:r>
  </w:p>
  <w:tbl>
    <w:tblPr>
      <w:tblW w:w="9639" w:type="dxa"/>
      <w:tblInd w:w="108" w:type="dxa"/>
      <w:tblBorders>
        <w:bottom w:val="single" w:sz="12" w:space="0" w:color="31849B"/>
      </w:tblBorders>
      <w:tblLook w:val="04A0" w:firstRow="1" w:lastRow="0" w:firstColumn="1" w:lastColumn="0" w:noHBand="0" w:noVBand="1"/>
    </w:tblPr>
    <w:tblGrid>
      <w:gridCol w:w="9639"/>
    </w:tblGrid>
    <w:tr w:rsidR="006B1A56" w14:paraId="6A682D39" w14:textId="77777777" w:rsidTr="006B1A56">
      <w:tc>
        <w:tcPr>
          <w:tcW w:w="9639" w:type="dxa"/>
        </w:tcPr>
        <w:p w14:paraId="52A3A119" w14:textId="77777777" w:rsidR="006B1A56" w:rsidRPr="00351B73" w:rsidRDefault="006B1A56" w:rsidP="006B1A56">
          <w:pPr>
            <w:pStyle w:val="Footer"/>
            <w:jc w:val="center"/>
            <w:rPr>
              <w:b/>
              <w:color w:val="C00000"/>
            </w:rPr>
          </w:pPr>
        </w:p>
      </w:tc>
    </w:tr>
  </w:tbl>
  <w:p w14:paraId="399BC830" w14:textId="77777777" w:rsidR="006B1A56" w:rsidRDefault="006B1A56" w:rsidP="006B1A56">
    <w:pPr>
      <w:pStyle w:val="Footer"/>
      <w:jc w:val="center"/>
      <w:rPr>
        <w:b/>
        <w:color w:val="C00000"/>
      </w:rPr>
    </w:pPr>
  </w:p>
  <w:p w14:paraId="285BA32B" w14:textId="77777777" w:rsidR="006B1A56" w:rsidRPr="00760D73" w:rsidRDefault="00760D73"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sidR="006B1A56">
      <w:rPr>
        <w:color w:val="31849B" w:themeColor="accent5" w:themeShade="BF"/>
      </w:rPr>
      <w:tab/>
    </w:r>
    <w:hyperlink r:id="rId1" w:history="1">
      <w:r w:rsidR="006B1A56" w:rsidRPr="000005B4">
        <w:rPr>
          <w:rStyle w:val="Hyperlink"/>
          <w:color w:val="31849B"/>
        </w:rPr>
        <w:t>www.fao.org/fsnforum/ar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760D73" w14:paraId="4FAFE4B2" w14:textId="77777777" w:rsidTr="005D7F1F">
      <w:tc>
        <w:tcPr>
          <w:tcW w:w="9639" w:type="dxa"/>
        </w:tcPr>
        <w:p w14:paraId="003A17CE" w14:textId="77777777" w:rsidR="00760D73" w:rsidRPr="00351B73" w:rsidRDefault="00760D73" w:rsidP="005D7F1F">
          <w:pPr>
            <w:pStyle w:val="Footer"/>
            <w:jc w:val="center"/>
            <w:rPr>
              <w:b/>
              <w:color w:val="C00000"/>
            </w:rPr>
          </w:pPr>
        </w:p>
      </w:tc>
    </w:tr>
  </w:tbl>
  <w:p w14:paraId="29E5569C" w14:textId="77777777" w:rsidR="00760D73" w:rsidRDefault="00760D73" w:rsidP="00760D73">
    <w:pPr>
      <w:pStyle w:val="Footer"/>
      <w:jc w:val="center"/>
      <w:rPr>
        <w:b/>
        <w:color w:val="C00000"/>
      </w:rPr>
    </w:pPr>
  </w:p>
  <w:p w14:paraId="5E386DA5" w14:textId="77777777" w:rsidR="00760D73" w:rsidRPr="00760D73" w:rsidRDefault="00760D73"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Pr>
        <w:color w:val="31849B" w:themeColor="accent5" w:themeShade="BF"/>
      </w:rPr>
      <w:tab/>
    </w:r>
    <w:hyperlink r:id="rId1" w:history="1">
      <w:r w:rsidRPr="000005B4">
        <w:rPr>
          <w:rStyle w:val="Hyperlink"/>
          <w:color w:val="31849B"/>
        </w:rPr>
        <w:t>www.fao.org/fsnforum/ar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81A8" w14:textId="77777777" w:rsidR="001C5765" w:rsidRDefault="001C5765" w:rsidP="006B1A56">
      <w:r>
        <w:separator/>
      </w:r>
    </w:p>
  </w:footnote>
  <w:footnote w:type="continuationSeparator" w:id="0">
    <w:p w14:paraId="67015657" w14:textId="77777777" w:rsidR="001C5765" w:rsidRDefault="001C5765" w:rsidP="006B1A56">
      <w:r>
        <w:continuationSeparator/>
      </w:r>
    </w:p>
  </w:footnote>
  <w:footnote w:id="1">
    <w:p w14:paraId="6CA709F6" w14:textId="3133DAE1" w:rsidR="004556F3" w:rsidRPr="000005B4" w:rsidRDefault="004556F3" w:rsidP="000005B4">
      <w:pPr>
        <w:pStyle w:val="FootnoteText"/>
        <w:jc w:val="left"/>
        <w:rPr>
          <w:rFonts w:asciiTheme="majorHAnsi" w:hAnsiTheme="majorHAnsi" w:cs="Calibri"/>
          <w:rtl/>
          <w:lang w:bidi="ar-EG"/>
        </w:rPr>
      </w:pPr>
      <w:r w:rsidRPr="004556F3">
        <w:rPr>
          <w:rStyle w:val="FootnoteReference"/>
          <w:rFonts w:ascii="Calibri" w:hAnsi="Calibri" w:cs="Calibri"/>
          <w:sz w:val="18"/>
          <w:szCs w:val="18"/>
        </w:rPr>
        <w:footnoteRef/>
      </w:r>
      <w:r w:rsidRPr="004556F3">
        <w:rPr>
          <w:rFonts w:ascii="Calibri" w:hAnsi="Calibri" w:cs="Calibri"/>
          <w:sz w:val="18"/>
          <w:szCs w:val="18"/>
          <w:rtl/>
        </w:rPr>
        <w:t xml:space="preserve"> منظم</w:t>
      </w:r>
      <w:r w:rsidRPr="000005B4">
        <w:rPr>
          <w:rFonts w:asciiTheme="majorHAnsi" w:hAnsiTheme="majorHAnsi" w:cs="Calibri"/>
          <w:rtl/>
        </w:rPr>
        <w:t xml:space="preserve">ة العمل الدولية. 2021. تقديرات منظمة العمل الدولية حول العمال المهاجرين في العالم – النتائج والمنهجية. النسخة الثالثة. سويسرا، جنيف. (متاح أيضًا على الرابط التالي </w:t>
      </w:r>
      <w:hyperlink r:id="rId1" w:history="1">
        <w:r w:rsidRPr="000005B4">
          <w:rPr>
            <w:rStyle w:val="Hyperlink"/>
            <w:rFonts w:asciiTheme="majorHAnsi" w:hAnsiTheme="majorHAnsi" w:cs="Calibri"/>
            <w:color w:val="31849B"/>
          </w:rPr>
          <w:t>www.ilo.org/wcmsp5/groups/public/---</w:t>
        </w:r>
        <w:proofErr w:type="spellStart"/>
        <w:r w:rsidRPr="000005B4">
          <w:rPr>
            <w:rStyle w:val="Hyperlink"/>
            <w:rFonts w:asciiTheme="majorHAnsi" w:hAnsiTheme="majorHAnsi" w:cs="Calibri"/>
            <w:color w:val="31849B"/>
          </w:rPr>
          <w:t>dgreports</w:t>
        </w:r>
        <w:proofErr w:type="spellEnd"/>
        <w:r w:rsidRPr="000005B4">
          <w:rPr>
            <w:rStyle w:val="Hyperlink"/>
            <w:rFonts w:asciiTheme="majorHAnsi" w:hAnsiTheme="majorHAnsi" w:cs="Calibri"/>
            <w:color w:val="31849B"/>
          </w:rPr>
          <w:t>/---</w:t>
        </w:r>
        <w:proofErr w:type="spellStart"/>
        <w:r w:rsidRPr="000005B4">
          <w:rPr>
            <w:rStyle w:val="Hyperlink"/>
            <w:rFonts w:asciiTheme="majorHAnsi" w:hAnsiTheme="majorHAnsi" w:cs="Calibri"/>
            <w:color w:val="31849B"/>
          </w:rPr>
          <w:t>dcomm</w:t>
        </w:r>
        <w:proofErr w:type="spellEnd"/>
        <w:r w:rsidRPr="000005B4">
          <w:rPr>
            <w:rStyle w:val="Hyperlink"/>
            <w:rFonts w:asciiTheme="majorHAnsi" w:hAnsiTheme="majorHAnsi" w:cs="Calibri"/>
            <w:color w:val="31849B"/>
          </w:rPr>
          <w:t>/---</w:t>
        </w:r>
        <w:proofErr w:type="spellStart"/>
        <w:r w:rsidRPr="000005B4">
          <w:rPr>
            <w:rStyle w:val="Hyperlink"/>
            <w:rFonts w:asciiTheme="majorHAnsi" w:hAnsiTheme="majorHAnsi" w:cs="Calibri"/>
            <w:color w:val="31849B"/>
          </w:rPr>
          <w:t>publ</w:t>
        </w:r>
        <w:proofErr w:type="spellEnd"/>
        <w:r w:rsidRPr="000005B4">
          <w:rPr>
            <w:rStyle w:val="Hyperlink"/>
            <w:rFonts w:asciiTheme="majorHAnsi" w:hAnsiTheme="majorHAnsi" w:cs="Calibri"/>
            <w:color w:val="31849B"/>
          </w:rPr>
          <w:t>/documents/publication/wcms_808935.pdf</w:t>
        </w:r>
      </w:hyperlink>
      <w:r w:rsidRPr="000005B4">
        <w:rPr>
          <w:rFonts w:asciiTheme="majorHAnsi" w:hAnsiTheme="majorHAnsi" w:cs="Calibri"/>
          <w:rtl/>
        </w:rPr>
        <w:t xml:space="preserve"> </w:t>
      </w:r>
    </w:p>
  </w:footnote>
  <w:footnote w:id="2">
    <w:p w14:paraId="6CF49BAA" w14:textId="0A28583A" w:rsidR="004556F3" w:rsidRPr="000005B4" w:rsidRDefault="004556F3" w:rsidP="000005B4">
      <w:pPr>
        <w:pStyle w:val="FootnoteText"/>
        <w:jc w:val="left"/>
        <w:rPr>
          <w:rFonts w:asciiTheme="majorHAnsi" w:hAnsiTheme="majorHAnsi" w:cs="Calibri"/>
          <w:rtl/>
          <w:lang w:bidi="ar-EG"/>
        </w:rPr>
      </w:pPr>
      <w:r w:rsidRPr="000005B4">
        <w:rPr>
          <w:rStyle w:val="FootnoteReference"/>
          <w:rFonts w:asciiTheme="majorHAnsi" w:hAnsiTheme="majorHAnsi" w:cs="Calibri"/>
        </w:rPr>
        <w:footnoteRef/>
      </w:r>
      <w:r w:rsidRPr="000005B4">
        <w:rPr>
          <w:rFonts w:asciiTheme="majorHAnsi" w:hAnsiTheme="majorHAnsi" w:cs="Calibri"/>
        </w:rPr>
        <w:t xml:space="preserve"> </w:t>
      </w:r>
      <w:r w:rsidRPr="000005B4">
        <w:rPr>
          <w:rFonts w:asciiTheme="majorHAnsi" w:hAnsiTheme="majorHAnsi" w:cs="Calibri"/>
          <w:rtl/>
        </w:rPr>
        <w:t>تشمل أمثلة هذه البرامج، البرنامج التجريبي لمنظمة الأغذية والزراعة "تعزيز النمو الاقتصادي الشامل من خلال المنح المقابلة" في جمهورية طاجيكستان (</w:t>
      </w:r>
      <w:hyperlink r:id="rId2" w:history="1">
        <w:r w:rsidRPr="000005B4">
          <w:rPr>
            <w:rStyle w:val="Hyperlink"/>
            <w:rFonts w:asciiTheme="majorHAnsi" w:hAnsiTheme="majorHAnsi" w:cs="Calibri"/>
            <w:color w:val="31849B"/>
          </w:rPr>
          <w:t>www.fao.org/in-action/fsn-caucasus-asia/areas-of-work/migration/en/</w:t>
        </w:r>
      </w:hyperlink>
      <w:r w:rsidRPr="000005B4">
        <w:rPr>
          <w:rFonts w:asciiTheme="majorHAnsi" w:hAnsiTheme="majorHAnsi" w:cs="Calibri"/>
          <w:rtl/>
        </w:rPr>
        <w:t>) وبرنامج جذب الحوالات المالية في القطاع الاقتصادي (</w:t>
      </w:r>
      <w:r w:rsidRPr="000005B4">
        <w:rPr>
          <w:rFonts w:asciiTheme="majorHAnsi" w:hAnsiTheme="majorHAnsi" w:cs="Calibri"/>
        </w:rPr>
        <w:t>PARE 1 + 1</w:t>
      </w:r>
      <w:r w:rsidRPr="000005B4">
        <w:rPr>
          <w:rFonts w:asciiTheme="majorHAnsi" w:hAnsiTheme="majorHAnsi" w:cs="Calibri"/>
          <w:rtl/>
        </w:rPr>
        <w:t>) في جمهورية مولدوفا (</w:t>
      </w:r>
      <w:hyperlink r:id="rId3" w:history="1">
        <w:r w:rsidRPr="000005B4">
          <w:rPr>
            <w:rStyle w:val="Hyperlink"/>
            <w:rFonts w:asciiTheme="majorHAnsi" w:hAnsiTheme="majorHAnsi" w:cs="Calibri"/>
            <w:color w:val="31849B"/>
          </w:rPr>
          <w:t>www.odimm.md/en/the-programme-for-attracting-remittances-into-economy</w:t>
        </w:r>
      </w:hyperlink>
      <w:r w:rsidRPr="000005B4">
        <w:rPr>
          <w:rFonts w:asciiTheme="majorHAnsi" w:hAnsiTheme="majorHAnsi" w:cs="Calibri"/>
          <w:rtl/>
        </w:rPr>
        <w:t>).</w:t>
      </w:r>
    </w:p>
  </w:footnote>
  <w:footnote w:id="3">
    <w:p w14:paraId="7F04A9A3" w14:textId="77777777" w:rsidR="004556F3" w:rsidRPr="000005B4" w:rsidRDefault="004556F3" w:rsidP="000005B4">
      <w:pPr>
        <w:pStyle w:val="FootnoteText"/>
        <w:jc w:val="left"/>
        <w:rPr>
          <w:rFonts w:asciiTheme="majorHAnsi" w:hAnsiTheme="majorHAnsi" w:cs="Calibri"/>
          <w:rtl/>
          <w:lang w:bidi="ar-EG"/>
        </w:rPr>
      </w:pPr>
      <w:r w:rsidRPr="000005B4">
        <w:rPr>
          <w:rStyle w:val="FootnoteReference"/>
          <w:rFonts w:asciiTheme="majorHAnsi" w:hAnsiTheme="majorHAnsi" w:cs="Calibri"/>
        </w:rPr>
        <w:footnoteRef/>
      </w:r>
      <w:r w:rsidRPr="000005B4">
        <w:rPr>
          <w:rFonts w:asciiTheme="majorHAnsi" w:hAnsiTheme="majorHAnsi" w:cs="Calibri"/>
          <w:b/>
          <w:lang w:val="nl-NL"/>
        </w:rPr>
        <w:t xml:space="preserve">Kersten, R., Harms, J., Liket, K. &amp; </w:t>
      </w:r>
      <w:proofErr w:type="gramStart"/>
      <w:r w:rsidRPr="000005B4">
        <w:rPr>
          <w:rFonts w:asciiTheme="majorHAnsi" w:hAnsiTheme="majorHAnsi" w:cs="Calibri"/>
          <w:b/>
          <w:lang w:val="nl-NL"/>
        </w:rPr>
        <w:t>Maas,</w:t>
      </w:r>
      <w:r w:rsidRPr="000005B4">
        <w:rPr>
          <w:rFonts w:asciiTheme="majorHAnsi" w:hAnsiTheme="majorHAnsi" w:cs="Calibri"/>
          <w:b/>
          <w:rtl/>
          <w:lang w:val="nl-NL"/>
        </w:rPr>
        <w:t>.</w:t>
      </w:r>
      <w:proofErr w:type="gramEnd"/>
      <w:r w:rsidRPr="000005B4">
        <w:rPr>
          <w:rFonts w:asciiTheme="majorHAnsi" w:hAnsiTheme="majorHAnsi" w:cs="Calibri"/>
          <w:rtl/>
          <w:lang w:bidi="ar-EG"/>
        </w:rPr>
        <w:t xml:space="preserve"> 2017. هل تُحدث الشركات الصغيرة أثرًا كبيرًا؟ مراجعة منهجية لأدبيات تمويل المشروعات الصغيرة والمتوسطة. التنمية </w:t>
      </w:r>
      <w:proofErr w:type="gramStart"/>
      <w:r w:rsidRPr="000005B4">
        <w:rPr>
          <w:rFonts w:asciiTheme="majorHAnsi" w:hAnsiTheme="majorHAnsi" w:cs="Calibri"/>
          <w:rtl/>
          <w:lang w:bidi="ar-EG"/>
        </w:rPr>
        <w:t>العالمية ،</w:t>
      </w:r>
      <w:proofErr w:type="gramEnd"/>
      <w:r w:rsidRPr="000005B4">
        <w:rPr>
          <w:rFonts w:asciiTheme="majorHAnsi" w:hAnsiTheme="majorHAnsi" w:cs="Calibri"/>
          <w:rtl/>
          <w:lang w:bidi="ar-EG"/>
        </w:rPr>
        <w:t xml:space="preserve"> 97: 330-348.</w:t>
      </w:r>
    </w:p>
    <w:p w14:paraId="70ECCD2B" w14:textId="77777777" w:rsidR="004556F3" w:rsidRPr="000005B4" w:rsidRDefault="004556F3" w:rsidP="000005B4">
      <w:pPr>
        <w:pStyle w:val="FootnoteText"/>
        <w:jc w:val="left"/>
        <w:rPr>
          <w:rFonts w:asciiTheme="majorHAnsi" w:hAnsiTheme="majorHAnsi" w:cs="Calibri"/>
          <w:lang w:bidi="ar-EG"/>
        </w:rPr>
      </w:pPr>
      <w:r w:rsidRPr="000005B4">
        <w:rPr>
          <w:rFonts w:asciiTheme="majorHAnsi" w:hAnsiTheme="majorHAnsi" w:cs="Calibri"/>
          <w:b/>
          <w:lang w:val="es-ES"/>
        </w:rPr>
        <w:t xml:space="preserve">Piza, C., </w:t>
      </w:r>
      <w:proofErr w:type="spellStart"/>
      <w:r w:rsidRPr="000005B4">
        <w:rPr>
          <w:rFonts w:asciiTheme="majorHAnsi" w:hAnsiTheme="majorHAnsi" w:cs="Calibri"/>
          <w:b/>
          <w:lang w:val="es-ES"/>
        </w:rPr>
        <w:t>Cravo</w:t>
      </w:r>
      <w:proofErr w:type="spellEnd"/>
      <w:r w:rsidRPr="000005B4">
        <w:rPr>
          <w:rFonts w:asciiTheme="majorHAnsi" w:hAnsiTheme="majorHAnsi" w:cs="Calibri"/>
          <w:b/>
          <w:lang w:val="es-ES"/>
        </w:rPr>
        <w:t xml:space="preserve">, T.A., Taylor, L., </w:t>
      </w:r>
      <w:proofErr w:type="spellStart"/>
      <w:r w:rsidRPr="000005B4">
        <w:rPr>
          <w:rFonts w:asciiTheme="majorHAnsi" w:hAnsiTheme="majorHAnsi" w:cs="Calibri"/>
          <w:b/>
          <w:lang w:val="es-ES"/>
        </w:rPr>
        <w:t>Gonzalez</w:t>
      </w:r>
      <w:proofErr w:type="spellEnd"/>
      <w:r w:rsidRPr="000005B4">
        <w:rPr>
          <w:rFonts w:asciiTheme="majorHAnsi" w:hAnsiTheme="majorHAnsi" w:cs="Calibri"/>
          <w:b/>
          <w:lang w:val="es-ES"/>
        </w:rPr>
        <w:t xml:space="preserve">, L., </w:t>
      </w:r>
      <w:proofErr w:type="spellStart"/>
      <w:r w:rsidRPr="000005B4">
        <w:rPr>
          <w:rFonts w:asciiTheme="majorHAnsi" w:hAnsiTheme="majorHAnsi" w:cs="Calibri"/>
          <w:b/>
          <w:lang w:val="es-ES"/>
        </w:rPr>
        <w:t>Musse</w:t>
      </w:r>
      <w:proofErr w:type="spellEnd"/>
      <w:r w:rsidRPr="000005B4">
        <w:rPr>
          <w:rFonts w:asciiTheme="majorHAnsi" w:hAnsiTheme="majorHAnsi" w:cs="Calibri"/>
          <w:b/>
          <w:lang w:val="es-ES"/>
        </w:rPr>
        <w:t xml:space="preserve">, I., </w:t>
      </w:r>
      <w:proofErr w:type="spellStart"/>
      <w:r w:rsidRPr="000005B4">
        <w:rPr>
          <w:rFonts w:asciiTheme="majorHAnsi" w:hAnsiTheme="majorHAnsi" w:cs="Calibri"/>
          <w:b/>
          <w:lang w:val="es-ES"/>
        </w:rPr>
        <w:t>Furtado</w:t>
      </w:r>
      <w:proofErr w:type="spellEnd"/>
      <w:r w:rsidRPr="000005B4">
        <w:rPr>
          <w:rFonts w:asciiTheme="majorHAnsi" w:hAnsiTheme="majorHAnsi" w:cs="Calibri"/>
          <w:b/>
          <w:lang w:val="es-ES"/>
        </w:rPr>
        <w:t xml:space="preserve">, I., Sierra, A.C. &amp; </w:t>
      </w:r>
      <w:proofErr w:type="spellStart"/>
      <w:r w:rsidRPr="000005B4">
        <w:rPr>
          <w:rFonts w:asciiTheme="majorHAnsi" w:hAnsiTheme="majorHAnsi" w:cs="Calibri"/>
          <w:b/>
          <w:lang w:val="es-ES"/>
        </w:rPr>
        <w:t>Abdelnour</w:t>
      </w:r>
      <w:proofErr w:type="spellEnd"/>
      <w:r w:rsidRPr="000005B4">
        <w:rPr>
          <w:rFonts w:asciiTheme="majorHAnsi" w:hAnsiTheme="majorHAnsi" w:cs="Calibri"/>
          <w:b/>
          <w:lang w:val="es-ES"/>
        </w:rPr>
        <w:t>, A</w:t>
      </w:r>
      <w:r w:rsidRPr="000005B4">
        <w:rPr>
          <w:rFonts w:asciiTheme="majorHAnsi" w:hAnsiTheme="majorHAnsi" w:cs="Calibri"/>
          <w:b/>
          <w:rtl/>
          <w:lang w:val="es-ES"/>
        </w:rPr>
        <w:t xml:space="preserve">. 2016. تأثير خدمات دعم الأعمال التي تقدمها المشروعات الصغيرة والمتوسطة على أداء الشركات في البلدان المنخفضة والمتوسطة الدخل: مراجعة منهجية. مراجعات كامبل المنهجية، 12 (1): 167 [عبر الإنترنت]. [تم الاستشهاد بهذا العمل في 21 كانون الأول/ديسمبر 2021]. </w:t>
      </w:r>
      <w:hyperlink r:id="rId4" w:history="1">
        <w:r w:rsidRPr="000005B4">
          <w:rPr>
            <w:rStyle w:val="Hyperlink"/>
            <w:rFonts w:asciiTheme="majorHAnsi" w:hAnsiTheme="majorHAnsi" w:cs="Calibri"/>
            <w:color w:val="31849B"/>
          </w:rPr>
          <w:t>https://onlinelibrary.wiley.com/doi/pdf/10.4073/csr.2016.1</w:t>
        </w:r>
      </w:hyperlink>
    </w:p>
    <w:p w14:paraId="4787EDAC" w14:textId="3FD118CF" w:rsidR="004556F3" w:rsidRPr="000005B4" w:rsidRDefault="004556F3" w:rsidP="000005B4">
      <w:pPr>
        <w:pStyle w:val="FootnoteText"/>
        <w:jc w:val="left"/>
        <w:rPr>
          <w:rFonts w:asciiTheme="majorHAnsi" w:hAnsiTheme="majorHAnsi"/>
          <w:rtl/>
          <w:lang w:bidi="ar-EG"/>
        </w:rPr>
      </w:pPr>
      <w:r w:rsidRPr="000005B4">
        <w:rPr>
          <w:rFonts w:asciiTheme="majorHAnsi" w:hAnsiTheme="majorHAnsi" w:cs="Calibri"/>
          <w:b/>
          <w:rtl/>
          <w:lang w:val="es-ES"/>
        </w:rPr>
        <w:t xml:space="preserve">بهذا العمل </w:t>
      </w:r>
      <w:r w:rsidRPr="000005B4">
        <w:rPr>
          <w:rFonts w:asciiTheme="majorHAnsi" w:hAnsiTheme="majorHAnsi" w:cs="Calibri"/>
          <w:rtl/>
          <w:lang w:bidi="ar-EG"/>
        </w:rPr>
        <w:t xml:space="preserve">في 21 </w:t>
      </w:r>
      <w:r w:rsidRPr="000005B4">
        <w:rPr>
          <w:rFonts w:asciiTheme="majorHAnsi" w:hAnsiTheme="majorHAnsi" w:cs="Calibri"/>
          <w:b/>
          <w:rtl/>
          <w:lang w:val="es-ES"/>
        </w:rPr>
        <w:t>كانون الأول/</w:t>
      </w:r>
      <w:r w:rsidRPr="000005B4">
        <w:rPr>
          <w:rFonts w:asciiTheme="majorHAnsi" w:hAnsiTheme="majorHAnsi" w:cs="Calibri"/>
          <w:rtl/>
          <w:lang w:bidi="ar-EG"/>
        </w:rPr>
        <w:t xml:space="preserve">ديسمبر 2021]. </w:t>
      </w:r>
      <w:hyperlink r:id="rId5" w:history="1">
        <w:r w:rsidRPr="000005B4">
          <w:rPr>
            <w:rStyle w:val="Hyperlink"/>
            <w:rFonts w:asciiTheme="majorHAnsi" w:hAnsiTheme="majorHAnsi" w:cs="Calibri"/>
            <w:color w:val="31849B"/>
          </w:rPr>
          <w:t>https://onlinelibrary.wiley.com/doi/pdf/10.4073/csr.2016.1</w:t>
        </w:r>
      </w:hyperlink>
      <w:r w:rsidRPr="000005B4">
        <w:rPr>
          <w:rFonts w:asciiTheme="majorHAnsi" w:hAnsiTheme="majorHAnsi" w:cs="Calibri"/>
          <w:rtl/>
          <w:lang w:bidi="ar-EG"/>
        </w:rPr>
        <w:t>.</w:t>
      </w:r>
      <w:r w:rsidRPr="000005B4">
        <w:rPr>
          <w:rFonts w:asciiTheme="majorHAnsi" w:hAnsiTheme="majorHAnsi"/>
          <w:rtl/>
          <w:lang w:bidi="ar-EG"/>
        </w:rPr>
        <w:t xml:space="preserve"> </w:t>
      </w:r>
    </w:p>
  </w:footnote>
  <w:footnote w:id="4">
    <w:p w14:paraId="20C82DBC" w14:textId="65ED98CE" w:rsidR="004556F3" w:rsidRPr="00940317" w:rsidRDefault="004556F3" w:rsidP="004556F3">
      <w:pPr>
        <w:pStyle w:val="FootnoteText"/>
        <w:rPr>
          <w:rFonts w:ascii="Dubai" w:hAnsi="Dubai" w:cs="Dubai"/>
          <w:sz w:val="18"/>
          <w:szCs w:val="18"/>
          <w:rtl/>
          <w:lang w:bidi="ar-EG"/>
        </w:rPr>
      </w:pPr>
      <w:r w:rsidRPr="000005B4">
        <w:rPr>
          <w:rStyle w:val="FootnoteReference"/>
          <w:rFonts w:asciiTheme="majorHAnsi" w:hAnsiTheme="majorHAnsi"/>
        </w:rPr>
        <w:footnoteRef/>
      </w:r>
      <w:r w:rsidRPr="000005B4">
        <w:rPr>
          <w:rFonts w:asciiTheme="majorHAnsi" w:hAnsiTheme="majorHAnsi"/>
        </w:rPr>
        <w:t xml:space="preserve"> </w:t>
      </w:r>
      <w:hyperlink r:id="rId6" w:history="1">
        <w:r w:rsidR="000005B4" w:rsidRPr="000005B4">
          <w:rPr>
            <w:rStyle w:val="Hyperlink"/>
            <w:rFonts w:asciiTheme="majorHAnsi" w:hAnsiTheme="majorHAnsi" w:cs="Calibri"/>
            <w:color w:val="31849B"/>
          </w:rPr>
          <w:t>www.fao.org/in-action/fsn-caucasus-asia/areas-of-work/migration/en/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3" w:type="pct"/>
      <w:tblInd w:w="115" w:type="dxa"/>
      <w:tblCellMar>
        <w:top w:w="58" w:type="dxa"/>
        <w:left w:w="115" w:type="dxa"/>
        <w:bottom w:w="58" w:type="dxa"/>
        <w:right w:w="115" w:type="dxa"/>
      </w:tblCellMar>
      <w:tblLook w:val="00A0" w:firstRow="1" w:lastRow="0" w:firstColumn="1" w:lastColumn="0" w:noHBand="0" w:noVBand="0"/>
    </w:tblPr>
    <w:tblGrid>
      <w:gridCol w:w="8721"/>
      <w:gridCol w:w="691"/>
    </w:tblGrid>
    <w:tr w:rsidR="006B1A56" w:rsidRPr="00B54A9F" w14:paraId="1A28C9D5" w14:textId="77777777" w:rsidTr="00167275">
      <w:tc>
        <w:tcPr>
          <w:tcW w:w="4633" w:type="pct"/>
        </w:tcPr>
        <w:p w14:paraId="0AF32CED" w14:textId="1BB16493" w:rsidR="006B1A56" w:rsidRDefault="00E22509" w:rsidP="00957E76">
          <w:pPr>
            <w:pStyle w:val="top"/>
          </w:pPr>
          <w:r w:rsidRPr="004556F3">
            <w:rPr>
              <w:rtl/>
            </w:rPr>
            <w:t>برامج المنح المقابلة: هل هي نهجُ فعال لتوجيه الحوالات المالية نحو الاستثمار المستدام في الأعمال التجارية الزراعية؟</w:t>
          </w:r>
        </w:p>
      </w:tc>
      <w:tc>
        <w:tcPr>
          <w:tcW w:w="367" w:type="pct"/>
        </w:tcPr>
        <w:p w14:paraId="2E0F4076" w14:textId="4CD786D6" w:rsidR="006B1A56" w:rsidRPr="006B1A56" w:rsidRDefault="006B1A56" w:rsidP="006B1A56">
          <w:pPr>
            <w:pStyle w:val="top"/>
            <w:jc w:val="right"/>
            <w:rPr>
              <w:b w:val="0"/>
            </w:rPr>
          </w:pPr>
          <w:r w:rsidRPr="006B1A56">
            <w:rPr>
              <w:b w:val="0"/>
            </w:rPr>
            <w:fldChar w:fldCharType="begin"/>
          </w:r>
          <w:r w:rsidRPr="006B1A56">
            <w:rPr>
              <w:b w:val="0"/>
            </w:rPr>
            <w:instrText xml:space="preserve"> PAGE   \* MERGEFORMAT </w:instrText>
          </w:r>
          <w:r w:rsidRPr="006B1A56">
            <w:rPr>
              <w:b w:val="0"/>
            </w:rPr>
            <w:fldChar w:fldCharType="separate"/>
          </w:r>
          <w:r w:rsidR="0028317B">
            <w:rPr>
              <w:b w:val="0"/>
              <w:noProof/>
            </w:rPr>
            <w:t>2</w:t>
          </w:r>
          <w:r w:rsidRPr="006B1A56">
            <w:rPr>
              <w:b w:val="0"/>
            </w:rPr>
            <w:fldChar w:fldCharType="end"/>
          </w:r>
        </w:p>
      </w:tc>
    </w:tr>
  </w:tbl>
  <w:p w14:paraId="29D3B77D" w14:textId="77777777" w:rsidR="006B1A56" w:rsidRPr="00B54A9F" w:rsidRDefault="006B1A56" w:rsidP="006B1A56"/>
  <w:p w14:paraId="3A32F859" w14:textId="77777777" w:rsidR="006B1A56" w:rsidRDefault="006B1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5CC21" w14:textId="77777777" w:rsidR="006B1A56" w:rsidRDefault="00760D73" w:rsidP="006B1A56">
    <w:pPr>
      <w:pStyle w:val="Header"/>
      <w:rPr>
        <w:color w:val="FFFFFF"/>
      </w:rPr>
    </w:pPr>
    <w:r>
      <w:rPr>
        <w:noProof/>
        <w:color w:val="FFFFFF"/>
        <w:lang w:val="en-US" w:eastAsia="en-US"/>
      </w:rPr>
      <w:drawing>
        <wp:inline distT="0" distB="0" distL="0" distR="0" wp14:anchorId="652D80C1" wp14:editId="1DB16A25">
          <wp:extent cx="2533139" cy="720000"/>
          <wp:effectExtent l="0" t="0" r="6985" b="0"/>
          <wp:docPr id="8" name="Picture 8" descr="ESA:FSN Forum:_DESIGN and WEBSITE Verona:01_TEMPLATE:DOC template:LOGO FAO FSNForum:FA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TEMPLATE:DOC template:LOGO FAO FSNForum:FA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139" cy="720000"/>
                  </a:xfrm>
                  <a:prstGeom prst="rect">
                    <a:avLst/>
                  </a:prstGeom>
                  <a:noFill/>
                  <a:ln>
                    <a:noFill/>
                  </a:ln>
                </pic:spPr>
              </pic:pic>
            </a:graphicData>
          </a:graphic>
        </wp:inline>
      </w:drawing>
    </w:r>
  </w:p>
  <w:p w14:paraId="1674D865" w14:textId="77777777" w:rsidR="006B1A56" w:rsidRDefault="006B1A56" w:rsidP="006B1A56">
    <w:pPr>
      <w:pStyle w:val="Header"/>
    </w:pPr>
  </w:p>
  <w:p w14:paraId="2548E0DA" w14:textId="4F05E19F" w:rsidR="006B1A56" w:rsidRDefault="00F1699E" w:rsidP="00F1699E">
    <w:pPr>
      <w:pStyle w:val="Heading4"/>
      <w:ind w:left="-284"/>
      <w:jc w:val="right"/>
    </w:pPr>
    <w:r>
      <w:rPr>
        <w:noProof/>
      </w:rPr>
      <w:drawing>
        <wp:inline distT="0" distB="0" distL="0" distR="0" wp14:anchorId="44796981" wp14:editId="608EAA58">
          <wp:extent cx="6120765" cy="43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SNForum_A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6B1A56" w:rsidRPr="00EB3574" w14:paraId="6E1E90C3" w14:textId="77777777" w:rsidTr="006B1A56">
      <w:trPr>
        <w:jc w:val="center"/>
      </w:trPr>
      <w:tc>
        <w:tcPr>
          <w:tcW w:w="9639" w:type="dxa"/>
          <w:shd w:val="clear" w:color="auto" w:fill="DAEEF3" w:themeFill="accent5" w:themeFillTint="33"/>
        </w:tcPr>
        <w:p w14:paraId="77E6D8F8" w14:textId="77777777" w:rsidR="006B1A56" w:rsidRPr="0043646E" w:rsidRDefault="006B1A56" w:rsidP="006B1A56">
          <w:pPr>
            <w:pStyle w:val="Heading6"/>
            <w:outlineLvl w:val="5"/>
          </w:pPr>
          <w:r w:rsidRPr="006B1A56">
            <w:rPr>
              <w:rFonts w:ascii="Times New Roman" w:hAnsi="Times New Roman"/>
              <w:rtl/>
            </w:rPr>
            <w:t>الموضوع</w:t>
          </w:r>
        </w:p>
      </w:tc>
    </w:tr>
    <w:tr w:rsidR="006B1A56" w:rsidRPr="00957E76" w14:paraId="300E2C14" w14:textId="77777777" w:rsidTr="006B1A56">
      <w:trPr>
        <w:jc w:val="center"/>
      </w:trPr>
      <w:tc>
        <w:tcPr>
          <w:tcW w:w="9639" w:type="dxa"/>
          <w:shd w:val="clear" w:color="auto" w:fill="FFFFFF" w:themeFill="background1"/>
        </w:tcPr>
        <w:p w14:paraId="25A46D9F" w14:textId="20503735" w:rsidR="006B1A56" w:rsidRPr="006B1A56" w:rsidRDefault="006B1A56" w:rsidP="000005B4">
          <w:pPr>
            <w:jc w:val="center"/>
            <w:rPr>
              <w:rFonts w:eastAsia="Times New Roman"/>
            </w:rPr>
          </w:pPr>
          <w:r w:rsidRPr="000005B4">
            <w:rPr>
              <w:rFonts w:ascii="Times New Roman" w:eastAsia="Times New Roman" w:hAnsi="Times New Roman"/>
              <w:sz w:val="24"/>
              <w:rtl/>
            </w:rPr>
            <w:t>مناقشة</w:t>
          </w:r>
          <w:r w:rsidRPr="000005B4">
            <w:rPr>
              <w:rFonts w:eastAsia="Times New Roman"/>
              <w:sz w:val="24"/>
            </w:rPr>
            <w:t xml:space="preserve"> </w:t>
          </w:r>
          <w:r w:rsidRPr="000005B4">
            <w:rPr>
              <w:rFonts w:ascii="Times New Roman" w:eastAsia="Times New Roman" w:hAnsi="Times New Roman"/>
              <w:sz w:val="24"/>
              <w:rtl/>
            </w:rPr>
            <w:t>رقم</w:t>
          </w:r>
          <w:r w:rsidR="000005B4" w:rsidRPr="000005B4">
            <w:rPr>
              <w:rFonts w:asciiTheme="majorHAnsi" w:hAnsiTheme="majorHAnsi"/>
              <w:b/>
              <w:sz w:val="24"/>
            </w:rPr>
            <w:t>18</w:t>
          </w:r>
          <w:r w:rsidR="007B3048" w:rsidRPr="000005B4">
            <w:rPr>
              <w:rFonts w:asciiTheme="majorHAnsi" w:hAnsiTheme="majorHAnsi"/>
              <w:b/>
              <w:sz w:val="24"/>
            </w:rPr>
            <w:t>.</w:t>
          </w:r>
          <w:r w:rsidR="00E0378D" w:rsidRPr="000005B4">
            <w:rPr>
              <w:rFonts w:asciiTheme="majorHAnsi" w:hAnsiTheme="majorHAnsi"/>
              <w:b/>
              <w:sz w:val="24"/>
            </w:rPr>
            <w:t>0</w:t>
          </w:r>
          <w:r w:rsidR="000005B4" w:rsidRPr="000005B4">
            <w:rPr>
              <w:rFonts w:asciiTheme="majorHAnsi" w:hAnsiTheme="majorHAnsi"/>
              <w:b/>
              <w:sz w:val="24"/>
            </w:rPr>
            <w:t>2</w:t>
          </w:r>
          <w:r w:rsidR="00162381" w:rsidRPr="000005B4">
            <w:rPr>
              <w:rFonts w:asciiTheme="majorHAnsi" w:hAnsiTheme="majorHAnsi"/>
              <w:b/>
              <w:sz w:val="24"/>
            </w:rPr>
            <w:t>.</w:t>
          </w:r>
          <w:r w:rsidR="00E0378D" w:rsidRPr="000005B4">
            <w:rPr>
              <w:rFonts w:asciiTheme="majorHAnsi" w:hAnsiTheme="majorHAnsi"/>
              <w:b/>
              <w:sz w:val="24"/>
            </w:rPr>
            <w:t>202</w:t>
          </w:r>
          <w:r w:rsidR="006E4F8B" w:rsidRPr="000005B4">
            <w:rPr>
              <w:rFonts w:asciiTheme="majorHAnsi" w:hAnsiTheme="majorHAnsi"/>
              <w:b/>
              <w:sz w:val="24"/>
            </w:rPr>
            <w:t>2</w:t>
          </w:r>
          <w:r w:rsidR="00162381" w:rsidRPr="000005B4">
            <w:rPr>
              <w:rFonts w:asciiTheme="majorHAnsi" w:hAnsiTheme="majorHAnsi"/>
              <w:b/>
              <w:sz w:val="24"/>
            </w:rPr>
            <w:t xml:space="preserve"> </w:t>
          </w:r>
          <w:r w:rsidR="00B35126" w:rsidRPr="000005B4">
            <w:rPr>
              <w:rFonts w:asciiTheme="majorHAnsi" w:hAnsiTheme="majorHAnsi"/>
              <w:b/>
              <w:sz w:val="24"/>
            </w:rPr>
            <w:t xml:space="preserve">– </w:t>
          </w:r>
          <w:r w:rsidR="000005B4" w:rsidRPr="000005B4">
            <w:rPr>
              <w:rFonts w:asciiTheme="majorHAnsi" w:hAnsiTheme="majorHAnsi"/>
              <w:b/>
              <w:sz w:val="24"/>
            </w:rPr>
            <w:t>31</w:t>
          </w:r>
          <w:r w:rsidR="00162381" w:rsidRPr="000005B4">
            <w:rPr>
              <w:rFonts w:asciiTheme="majorHAnsi" w:hAnsiTheme="majorHAnsi"/>
              <w:b/>
              <w:sz w:val="24"/>
            </w:rPr>
            <w:t>.</w:t>
          </w:r>
          <w:r w:rsidR="000005B4" w:rsidRPr="000005B4">
            <w:rPr>
              <w:rFonts w:asciiTheme="majorHAnsi" w:hAnsiTheme="majorHAnsi"/>
              <w:b/>
              <w:sz w:val="24"/>
            </w:rPr>
            <w:t>03</w:t>
          </w:r>
          <w:r w:rsidR="00162381" w:rsidRPr="000005B4">
            <w:rPr>
              <w:rFonts w:asciiTheme="majorHAnsi" w:hAnsiTheme="majorHAnsi"/>
              <w:b/>
              <w:sz w:val="24"/>
            </w:rPr>
            <w:t>.</w:t>
          </w:r>
          <w:r w:rsidR="00E0378D" w:rsidRPr="000005B4">
            <w:rPr>
              <w:rFonts w:asciiTheme="majorHAnsi" w:hAnsiTheme="majorHAnsi"/>
              <w:b/>
              <w:sz w:val="24"/>
            </w:rPr>
            <w:t>202</w:t>
          </w:r>
          <w:r w:rsidR="006E4F8B" w:rsidRPr="000005B4">
            <w:rPr>
              <w:rFonts w:asciiTheme="majorHAnsi" w:hAnsiTheme="majorHAnsi"/>
              <w:b/>
              <w:sz w:val="24"/>
            </w:rPr>
            <w:t>2</w:t>
          </w:r>
          <w:r w:rsidR="008B5C73" w:rsidRPr="000005B4">
            <w:rPr>
              <w:rFonts w:asciiTheme="majorHAnsi" w:hAnsiTheme="majorHAnsi"/>
              <w:b/>
              <w:sz w:val="24"/>
            </w:rPr>
            <w:t xml:space="preserve"> </w:t>
          </w:r>
          <w:r w:rsidR="00B35126" w:rsidRPr="000005B4">
            <w:rPr>
              <w:rFonts w:ascii="Wingdings" w:hAnsi="Wingdings"/>
              <w:color w:val="31849B" w:themeColor="accent5" w:themeShade="BF"/>
              <w:sz w:val="24"/>
            </w:rPr>
            <w:t></w:t>
          </w:r>
          <w:r w:rsidR="00B35126" w:rsidRPr="000005B4">
            <w:rPr>
              <w:rFonts w:asciiTheme="majorHAnsi" w:hAnsiTheme="majorHAnsi"/>
              <w:b/>
              <w:sz w:val="24"/>
            </w:rPr>
            <w:t xml:space="preserve"> </w:t>
          </w:r>
          <w:r w:rsidR="00E0378D" w:rsidRPr="000005B4">
            <w:rPr>
              <w:b/>
              <w:sz w:val="24"/>
            </w:rPr>
            <w:t>17</w:t>
          </w:r>
          <w:r w:rsidR="004556F3" w:rsidRPr="000005B4">
            <w:rPr>
              <w:b/>
              <w:sz w:val="24"/>
            </w:rPr>
            <w:t>7</w:t>
          </w:r>
          <w:r w:rsidR="00B35126" w:rsidRPr="000005B4">
            <w:rPr>
              <w:rFonts w:eastAsia="Times New Roman"/>
              <w:sz w:val="24"/>
            </w:rPr>
            <w:t xml:space="preserve"> </w:t>
          </w:r>
          <w:r w:rsidRPr="000005B4">
            <w:rPr>
              <w:rFonts w:asciiTheme="majorHAnsi" w:hAnsiTheme="majorHAnsi"/>
              <w:b/>
              <w:color w:val="31849B" w:themeColor="accent5" w:themeShade="BF"/>
              <w:sz w:val="24"/>
            </w:rPr>
            <w:br/>
          </w:r>
          <w:r w:rsidRPr="000005B4">
            <w:rPr>
              <w:noProof/>
              <w:color w:val="31849B"/>
            </w:rPr>
            <w:drawing>
              <wp:inline distT="0" distB="0" distL="0" distR="0" wp14:anchorId="3A618B4D" wp14:editId="4B29EE20">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0005B4">
            <w:rPr>
              <w:color w:val="31849B"/>
            </w:rPr>
            <w:t xml:space="preserve">   </w:t>
          </w:r>
          <w:hyperlink r:id="rId4" w:history="1">
            <w:r w:rsidR="006E4F8B" w:rsidRPr="000005B4">
              <w:rPr>
                <w:rStyle w:val="Hyperlink"/>
                <w:color w:val="31849B"/>
                <w:sz w:val="24"/>
              </w:rPr>
              <w:t>www.fao.org/fsnforum/ar/activities/consultations/matching_grant_programmes</w:t>
            </w:r>
          </w:hyperlink>
          <w:r w:rsidR="00D34852" w:rsidRPr="00957E76">
            <w:rPr>
              <w:rStyle w:val="Hyperlink"/>
              <w:sz w:val="22"/>
              <w:szCs w:val="22"/>
            </w:rPr>
            <w:t xml:space="preserve"> </w:t>
          </w:r>
        </w:p>
      </w:tc>
    </w:tr>
  </w:tbl>
  <w:p w14:paraId="2ABDC166" w14:textId="77777777" w:rsidR="006B1A56" w:rsidRPr="006B1A56" w:rsidRDefault="006B1A56" w:rsidP="006B1A56">
    <w:pPr>
      <w:pStyle w:val="Header"/>
      <w:rPr>
        <w:rtl/>
      </w:rPr>
    </w:pPr>
  </w:p>
  <w:p w14:paraId="4CB1407E" w14:textId="77777777" w:rsidR="006B1A56" w:rsidRDefault="006B1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61A"/>
    <w:multiLevelType w:val="hybridMultilevel"/>
    <w:tmpl w:val="A7B41C6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315925"/>
    <w:multiLevelType w:val="hybridMultilevel"/>
    <w:tmpl w:val="61D48E22"/>
    <w:lvl w:ilvl="0" w:tplc="C2ACB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C5C24"/>
    <w:multiLevelType w:val="hybridMultilevel"/>
    <w:tmpl w:val="1A86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B3C46"/>
    <w:multiLevelType w:val="hybridMultilevel"/>
    <w:tmpl w:val="1F30D736"/>
    <w:lvl w:ilvl="0" w:tplc="C2ACB7A4">
      <w:start w:val="1"/>
      <w:numFmt w:val="bullet"/>
      <w:lvlText w:val=""/>
      <w:lvlJc w:val="left"/>
      <w:pPr>
        <w:ind w:left="720" w:hanging="360"/>
      </w:pPr>
      <w:rPr>
        <w:rFonts w:ascii="Symbol" w:hAnsi="Symbol" w:hint="default"/>
      </w:rPr>
    </w:lvl>
    <w:lvl w:ilvl="1" w:tplc="9E0A7AD4">
      <w:start w:val="1"/>
      <w:numFmt w:val="bullet"/>
      <w:lvlText w:val="o"/>
      <w:lvlJc w:val="left"/>
      <w:pPr>
        <w:ind w:left="1440" w:hanging="360"/>
      </w:pPr>
      <w:rPr>
        <w:rFonts w:ascii="Courier New" w:hAnsi="Courier New" w:hint="default"/>
      </w:rPr>
    </w:lvl>
    <w:lvl w:ilvl="2" w:tplc="A66C2964">
      <w:start w:val="1"/>
      <w:numFmt w:val="bullet"/>
      <w:lvlText w:val=""/>
      <w:lvlJc w:val="left"/>
      <w:pPr>
        <w:ind w:left="2160" w:hanging="360"/>
      </w:pPr>
      <w:rPr>
        <w:rFonts w:ascii="Wingdings" w:hAnsi="Wingdings" w:hint="default"/>
      </w:rPr>
    </w:lvl>
    <w:lvl w:ilvl="3" w:tplc="3C3AEE3A">
      <w:start w:val="1"/>
      <w:numFmt w:val="bullet"/>
      <w:lvlText w:val=""/>
      <w:lvlJc w:val="left"/>
      <w:pPr>
        <w:ind w:left="2880" w:hanging="360"/>
      </w:pPr>
      <w:rPr>
        <w:rFonts w:ascii="Symbol" w:hAnsi="Symbol" w:hint="default"/>
      </w:rPr>
    </w:lvl>
    <w:lvl w:ilvl="4" w:tplc="A7B0AB82">
      <w:start w:val="1"/>
      <w:numFmt w:val="bullet"/>
      <w:lvlText w:val="o"/>
      <w:lvlJc w:val="left"/>
      <w:pPr>
        <w:ind w:left="3600" w:hanging="360"/>
      </w:pPr>
      <w:rPr>
        <w:rFonts w:ascii="Courier New" w:hAnsi="Courier New" w:hint="default"/>
      </w:rPr>
    </w:lvl>
    <w:lvl w:ilvl="5" w:tplc="473084FE">
      <w:start w:val="1"/>
      <w:numFmt w:val="bullet"/>
      <w:lvlText w:val=""/>
      <w:lvlJc w:val="left"/>
      <w:pPr>
        <w:ind w:left="4320" w:hanging="360"/>
      </w:pPr>
      <w:rPr>
        <w:rFonts w:ascii="Wingdings" w:hAnsi="Wingdings" w:hint="default"/>
      </w:rPr>
    </w:lvl>
    <w:lvl w:ilvl="6" w:tplc="8E027E9E">
      <w:start w:val="1"/>
      <w:numFmt w:val="bullet"/>
      <w:lvlText w:val=""/>
      <w:lvlJc w:val="left"/>
      <w:pPr>
        <w:ind w:left="5040" w:hanging="360"/>
      </w:pPr>
      <w:rPr>
        <w:rFonts w:ascii="Symbol" w:hAnsi="Symbol" w:hint="default"/>
      </w:rPr>
    </w:lvl>
    <w:lvl w:ilvl="7" w:tplc="EFEE295C">
      <w:start w:val="1"/>
      <w:numFmt w:val="bullet"/>
      <w:lvlText w:val="o"/>
      <w:lvlJc w:val="left"/>
      <w:pPr>
        <w:ind w:left="5760" w:hanging="360"/>
      </w:pPr>
      <w:rPr>
        <w:rFonts w:ascii="Courier New" w:hAnsi="Courier New" w:hint="default"/>
      </w:rPr>
    </w:lvl>
    <w:lvl w:ilvl="8" w:tplc="F6F01C64">
      <w:start w:val="1"/>
      <w:numFmt w:val="bullet"/>
      <w:lvlText w:val=""/>
      <w:lvlJc w:val="left"/>
      <w:pPr>
        <w:ind w:left="6480" w:hanging="360"/>
      </w:pPr>
      <w:rPr>
        <w:rFonts w:ascii="Wingdings" w:hAnsi="Wingdings" w:hint="default"/>
      </w:rPr>
    </w:lvl>
  </w:abstractNum>
  <w:abstractNum w:abstractNumId="5" w15:restartNumberingAfterBreak="0">
    <w:nsid w:val="353A3A6E"/>
    <w:multiLevelType w:val="hybridMultilevel"/>
    <w:tmpl w:val="8F4E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C44B5"/>
    <w:multiLevelType w:val="hybridMultilevel"/>
    <w:tmpl w:val="1974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260CD"/>
    <w:multiLevelType w:val="multilevel"/>
    <w:tmpl w:val="E02468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D065F"/>
    <w:multiLevelType w:val="hybridMultilevel"/>
    <w:tmpl w:val="1C706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70333"/>
    <w:multiLevelType w:val="multilevel"/>
    <w:tmpl w:val="D252511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45D8E"/>
    <w:multiLevelType w:val="hybridMultilevel"/>
    <w:tmpl w:val="D27A4616"/>
    <w:lvl w:ilvl="0" w:tplc="4D4A6344">
      <w:start w:val="1"/>
      <w:numFmt w:val="decimal"/>
      <w:lvlText w:val="%1."/>
      <w:lvlJc w:val="left"/>
      <w:pPr>
        <w:ind w:left="720" w:hanging="360"/>
      </w:pPr>
    </w:lvl>
    <w:lvl w:ilvl="1" w:tplc="920C3EE0">
      <w:start w:val="1"/>
      <w:numFmt w:val="lowerLetter"/>
      <w:lvlText w:val="%2."/>
      <w:lvlJc w:val="left"/>
      <w:pPr>
        <w:ind w:left="1440" w:hanging="360"/>
      </w:pPr>
    </w:lvl>
    <w:lvl w:ilvl="2" w:tplc="7D465174">
      <w:start w:val="1"/>
      <w:numFmt w:val="lowerRoman"/>
      <w:lvlText w:val="%3."/>
      <w:lvlJc w:val="right"/>
      <w:pPr>
        <w:ind w:left="2160" w:hanging="180"/>
      </w:pPr>
    </w:lvl>
    <w:lvl w:ilvl="3" w:tplc="248A330A">
      <w:start w:val="1"/>
      <w:numFmt w:val="decimal"/>
      <w:lvlText w:val="%4."/>
      <w:lvlJc w:val="left"/>
      <w:pPr>
        <w:ind w:left="2880" w:hanging="360"/>
      </w:pPr>
    </w:lvl>
    <w:lvl w:ilvl="4" w:tplc="55E0F3B0">
      <w:start w:val="1"/>
      <w:numFmt w:val="lowerLetter"/>
      <w:lvlText w:val="%5."/>
      <w:lvlJc w:val="left"/>
      <w:pPr>
        <w:ind w:left="3600" w:hanging="360"/>
      </w:pPr>
    </w:lvl>
    <w:lvl w:ilvl="5" w:tplc="6696ED84">
      <w:start w:val="1"/>
      <w:numFmt w:val="lowerRoman"/>
      <w:lvlText w:val="%6."/>
      <w:lvlJc w:val="right"/>
      <w:pPr>
        <w:ind w:left="4320" w:hanging="180"/>
      </w:pPr>
    </w:lvl>
    <w:lvl w:ilvl="6" w:tplc="8EA24098">
      <w:start w:val="1"/>
      <w:numFmt w:val="decimal"/>
      <w:lvlText w:val="%7."/>
      <w:lvlJc w:val="left"/>
      <w:pPr>
        <w:ind w:left="5040" w:hanging="360"/>
      </w:pPr>
    </w:lvl>
    <w:lvl w:ilvl="7" w:tplc="93CEC12E">
      <w:start w:val="1"/>
      <w:numFmt w:val="lowerLetter"/>
      <w:lvlText w:val="%8."/>
      <w:lvlJc w:val="left"/>
      <w:pPr>
        <w:ind w:left="5760" w:hanging="360"/>
      </w:pPr>
    </w:lvl>
    <w:lvl w:ilvl="8" w:tplc="A42229C4">
      <w:start w:val="1"/>
      <w:numFmt w:val="lowerRoman"/>
      <w:lvlText w:val="%9."/>
      <w:lvlJc w:val="right"/>
      <w:pPr>
        <w:ind w:left="6480" w:hanging="180"/>
      </w:pPr>
    </w:lvl>
  </w:abstractNum>
  <w:abstractNum w:abstractNumId="11" w15:restartNumberingAfterBreak="0">
    <w:nsid w:val="50866F5D"/>
    <w:multiLevelType w:val="hybridMultilevel"/>
    <w:tmpl w:val="1FAC4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79442F"/>
    <w:multiLevelType w:val="multilevel"/>
    <w:tmpl w:val="0F6CE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3274E"/>
    <w:multiLevelType w:val="hybridMultilevel"/>
    <w:tmpl w:val="4E38410C"/>
    <w:lvl w:ilvl="0" w:tplc="20105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53C8D"/>
    <w:multiLevelType w:val="hybridMultilevel"/>
    <w:tmpl w:val="F336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95FBA"/>
    <w:multiLevelType w:val="multilevel"/>
    <w:tmpl w:val="67E2E6C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13"/>
  </w:num>
  <w:num w:numId="5">
    <w:abstractNumId w:val="9"/>
  </w:num>
  <w:num w:numId="6">
    <w:abstractNumId w:val="12"/>
  </w:num>
  <w:num w:numId="7">
    <w:abstractNumId w:val="7"/>
  </w:num>
  <w:num w:numId="8">
    <w:abstractNumId w:val="10"/>
  </w:num>
  <w:num w:numId="9">
    <w:abstractNumId w:val="4"/>
  </w:num>
  <w:num w:numId="10">
    <w:abstractNumId w:val="1"/>
  </w:num>
  <w:num w:numId="11">
    <w:abstractNumId w:val="15"/>
  </w:num>
  <w:num w:numId="12">
    <w:abstractNumId w:val="8"/>
  </w:num>
  <w:num w:numId="13">
    <w:abstractNumId w:val="0"/>
  </w:num>
  <w:num w:numId="14">
    <w:abstractNumId w:val="14"/>
  </w:num>
  <w:num w:numId="15">
    <w:abstractNumId w:val="6"/>
  </w:num>
  <w:num w:numId="16">
    <w:abstractNumId w:val="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ar-EG" w:vendorID="64" w:dllVersion="6" w:nlCheck="1" w:checkStyle="0"/>
  <w:activeWritingStyle w:appName="MSWord" w:lang="en-GB" w:vendorID="64" w:dllVersion="6" w:nlCheck="1" w:checkStyle="1"/>
  <w:activeWritingStyle w:appName="MSWord" w:lang="en-GB"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s-ES" w:vendorID="64" w:dllVersion="0" w:nlCheck="1" w:checkStyle="0"/>
  <w:activeWritingStyle w:appName="MSWord" w:lang="ar-SA" w:vendorID="64" w:dllVersion="131078" w:nlCheck="1" w:checkStyle="0"/>
  <w:activeWritingStyle w:appName="MSWord" w:lang="nl-NL" w:vendorID="64" w:dllVersion="131078" w:nlCheck="1" w:checkStyle="0"/>
  <w:activeWritingStyle w:appName="MSWord" w:lang="ar-EG"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D7"/>
    <w:rsid w:val="000005B4"/>
    <w:rsid w:val="00004A32"/>
    <w:rsid w:val="00081458"/>
    <w:rsid w:val="000943DA"/>
    <w:rsid w:val="000A5F58"/>
    <w:rsid w:val="000A7AAA"/>
    <w:rsid w:val="000C04BE"/>
    <w:rsid w:val="000D5AAA"/>
    <w:rsid w:val="000E58FB"/>
    <w:rsid w:val="000F3E37"/>
    <w:rsid w:val="000F446F"/>
    <w:rsid w:val="00114931"/>
    <w:rsid w:val="00143B21"/>
    <w:rsid w:val="0015313D"/>
    <w:rsid w:val="00153D71"/>
    <w:rsid w:val="00162381"/>
    <w:rsid w:val="00167275"/>
    <w:rsid w:val="00175E97"/>
    <w:rsid w:val="00176ED7"/>
    <w:rsid w:val="001A6989"/>
    <w:rsid w:val="001B5CD6"/>
    <w:rsid w:val="001B6742"/>
    <w:rsid w:val="001C2ECA"/>
    <w:rsid w:val="001C5765"/>
    <w:rsid w:val="001F3517"/>
    <w:rsid w:val="00217964"/>
    <w:rsid w:val="002248F3"/>
    <w:rsid w:val="00247AFE"/>
    <w:rsid w:val="002642F7"/>
    <w:rsid w:val="00264EF5"/>
    <w:rsid w:val="00272ED8"/>
    <w:rsid w:val="0028317B"/>
    <w:rsid w:val="00284CCD"/>
    <w:rsid w:val="00286561"/>
    <w:rsid w:val="002C47CC"/>
    <w:rsid w:val="002D211F"/>
    <w:rsid w:val="002D28E4"/>
    <w:rsid w:val="0030415C"/>
    <w:rsid w:val="003130F6"/>
    <w:rsid w:val="003156E1"/>
    <w:rsid w:val="00335F95"/>
    <w:rsid w:val="00340EE2"/>
    <w:rsid w:val="00344089"/>
    <w:rsid w:val="00365901"/>
    <w:rsid w:val="003A2878"/>
    <w:rsid w:val="003E7546"/>
    <w:rsid w:val="003F07D7"/>
    <w:rsid w:val="003F27B3"/>
    <w:rsid w:val="003F7809"/>
    <w:rsid w:val="004021F0"/>
    <w:rsid w:val="0041347C"/>
    <w:rsid w:val="00414CF9"/>
    <w:rsid w:val="004556F3"/>
    <w:rsid w:val="00492553"/>
    <w:rsid w:val="004A117E"/>
    <w:rsid w:val="004D72A4"/>
    <w:rsid w:val="005078AC"/>
    <w:rsid w:val="005244BA"/>
    <w:rsid w:val="0057735E"/>
    <w:rsid w:val="00585F2E"/>
    <w:rsid w:val="005B3A8E"/>
    <w:rsid w:val="005C64AC"/>
    <w:rsid w:val="005C7710"/>
    <w:rsid w:val="00600073"/>
    <w:rsid w:val="00656897"/>
    <w:rsid w:val="00681C6C"/>
    <w:rsid w:val="0068605A"/>
    <w:rsid w:val="006B1A56"/>
    <w:rsid w:val="006B402B"/>
    <w:rsid w:val="006E4F8B"/>
    <w:rsid w:val="006F3FB5"/>
    <w:rsid w:val="00712D9B"/>
    <w:rsid w:val="0071632E"/>
    <w:rsid w:val="00720A0C"/>
    <w:rsid w:val="007510A6"/>
    <w:rsid w:val="00751CEF"/>
    <w:rsid w:val="007550BD"/>
    <w:rsid w:val="007607DB"/>
    <w:rsid w:val="00760D73"/>
    <w:rsid w:val="00764BCC"/>
    <w:rsid w:val="00787524"/>
    <w:rsid w:val="007B3048"/>
    <w:rsid w:val="00814D2B"/>
    <w:rsid w:val="00826DD1"/>
    <w:rsid w:val="00831074"/>
    <w:rsid w:val="00842592"/>
    <w:rsid w:val="008604B3"/>
    <w:rsid w:val="00885178"/>
    <w:rsid w:val="00890A2E"/>
    <w:rsid w:val="008B1EF2"/>
    <w:rsid w:val="008B5C73"/>
    <w:rsid w:val="008D1C09"/>
    <w:rsid w:val="008F3083"/>
    <w:rsid w:val="00904AB1"/>
    <w:rsid w:val="00911407"/>
    <w:rsid w:val="0093733A"/>
    <w:rsid w:val="00937C65"/>
    <w:rsid w:val="00957E76"/>
    <w:rsid w:val="009B0D1C"/>
    <w:rsid w:val="009D6EF0"/>
    <w:rsid w:val="009E5C09"/>
    <w:rsid w:val="00A10F1F"/>
    <w:rsid w:val="00A212B9"/>
    <w:rsid w:val="00A234E0"/>
    <w:rsid w:val="00A431F8"/>
    <w:rsid w:val="00A82F96"/>
    <w:rsid w:val="00A85680"/>
    <w:rsid w:val="00AC3735"/>
    <w:rsid w:val="00AC623D"/>
    <w:rsid w:val="00AD5232"/>
    <w:rsid w:val="00B0014D"/>
    <w:rsid w:val="00B35126"/>
    <w:rsid w:val="00B62B98"/>
    <w:rsid w:val="00BB5FF1"/>
    <w:rsid w:val="00BD6026"/>
    <w:rsid w:val="00C27D79"/>
    <w:rsid w:val="00C40AE5"/>
    <w:rsid w:val="00C47FE6"/>
    <w:rsid w:val="00C62CC4"/>
    <w:rsid w:val="00C75B2C"/>
    <w:rsid w:val="00C80CD3"/>
    <w:rsid w:val="00C811FD"/>
    <w:rsid w:val="00C95284"/>
    <w:rsid w:val="00D26079"/>
    <w:rsid w:val="00D34852"/>
    <w:rsid w:val="00D42E90"/>
    <w:rsid w:val="00D64CD9"/>
    <w:rsid w:val="00DC17D6"/>
    <w:rsid w:val="00DF506F"/>
    <w:rsid w:val="00E0378D"/>
    <w:rsid w:val="00E22509"/>
    <w:rsid w:val="00E41086"/>
    <w:rsid w:val="00E76714"/>
    <w:rsid w:val="00E82D0C"/>
    <w:rsid w:val="00E96E58"/>
    <w:rsid w:val="00EB24E4"/>
    <w:rsid w:val="00EC259A"/>
    <w:rsid w:val="00F14D3B"/>
    <w:rsid w:val="00F1699E"/>
    <w:rsid w:val="00F17512"/>
    <w:rsid w:val="00F23511"/>
    <w:rsid w:val="00F445F8"/>
    <w:rsid w:val="00F45199"/>
    <w:rsid w:val="00F6227E"/>
    <w:rsid w:val="00FB143B"/>
    <w:rsid w:val="00FD0660"/>
    <w:rsid w:val="00FE7115"/>
    <w:rsid w:val="00FF4D1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7333C"/>
  <w15:docId w15:val="{056F6599-F7FE-194C-A606-422D4F7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76"/>
    <w:pPr>
      <w:tabs>
        <w:tab w:val="left" w:pos="3525"/>
      </w:tabs>
      <w:bidi/>
      <w:jc w:val="both"/>
    </w:pPr>
    <w:rPr>
      <w:rFonts w:ascii="Cambria" w:hAnsi="Cambria"/>
      <w:szCs w:val="24"/>
    </w:rPr>
  </w:style>
  <w:style w:type="paragraph" w:styleId="Heading1">
    <w:name w:val="heading 1"/>
    <w:basedOn w:val="Normal"/>
    <w:next w:val="Normal"/>
    <w:link w:val="Heading1Char"/>
    <w:uiPriority w:val="9"/>
    <w:qFormat/>
    <w:rsid w:val="00F1699E"/>
    <w:pPr>
      <w:outlineLvl w:val="0"/>
    </w:pPr>
    <w:rPr>
      <w:b/>
      <w:bCs/>
      <w:color w:val="E36C0A" w:themeColor="accent6" w:themeShade="BF"/>
      <w:sz w:val="36"/>
      <w:szCs w:val="36"/>
    </w:rPr>
  </w:style>
  <w:style w:type="paragraph" w:styleId="Heading2">
    <w:name w:val="heading 2"/>
    <w:basedOn w:val="Normal"/>
    <w:next w:val="Normal"/>
    <w:link w:val="Heading2Char"/>
    <w:uiPriority w:val="9"/>
    <w:semiHidden/>
    <w:unhideWhenUsed/>
    <w:qFormat/>
    <w:rsid w:val="00760D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0CD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Spacing"/>
    <w:next w:val="Normal"/>
    <w:link w:val="Heading4Char"/>
    <w:qFormat/>
    <w:rsid w:val="006B1A56"/>
    <w:pPr>
      <w:spacing w:before="360" w:after="120"/>
      <w:jc w:val="both"/>
      <w:outlineLvl w:val="3"/>
    </w:pPr>
    <w:rPr>
      <w:rFonts w:ascii="Cambria" w:eastAsia="Times New Roman" w:hAnsi="Cambria" w:cs="Times New Roman"/>
      <w:b/>
      <w:sz w:val="24"/>
      <w:szCs w:val="24"/>
      <w:lang w:val="en-US" w:eastAsia="en-US"/>
    </w:rPr>
  </w:style>
  <w:style w:type="paragraph" w:styleId="Heading5">
    <w:name w:val="heading 5"/>
    <w:basedOn w:val="Normal"/>
    <w:next w:val="Normal"/>
    <w:link w:val="Heading5Char"/>
    <w:uiPriority w:val="9"/>
    <w:semiHidden/>
    <w:unhideWhenUsed/>
    <w:qFormat/>
    <w:rsid w:val="006B1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6B1A56"/>
    <w:pPr>
      <w:keepNext w:val="0"/>
      <w:keepLines w:val="0"/>
      <w:spacing w:before="120" w:after="120"/>
      <w:jc w:val="center"/>
      <w:outlineLvl w:val="5"/>
    </w:pPr>
    <w:rPr>
      <w:rFonts w:ascii="Cambria" w:eastAsia="Times New Roman" w:hAnsi="Cambria" w:cs="Times New Roman"/>
      <w:b/>
      <w:bCs/>
      <w:noProof/>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rmal"/>
    <w:link w:val="ListParagraphChar"/>
    <w:uiPriority w:val="34"/>
    <w:qFormat/>
    <w:rsid w:val="00764BCC"/>
    <w:pPr>
      <w:ind w:left="720"/>
      <w:contextualSpacing/>
    </w:pPr>
  </w:style>
  <w:style w:type="paragraph" w:customStyle="1" w:styleId="Default">
    <w:name w:val="Default"/>
    <w:rsid w:val="00764BCC"/>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814D2B"/>
    <w:pPr>
      <w:tabs>
        <w:tab w:val="center" w:pos="4513"/>
        <w:tab w:val="right" w:pos="9026"/>
      </w:tabs>
    </w:pPr>
  </w:style>
  <w:style w:type="character" w:customStyle="1" w:styleId="HeaderChar">
    <w:name w:val="Header Char"/>
    <w:basedOn w:val="DefaultParagraphFont"/>
    <w:link w:val="Header"/>
    <w:rsid w:val="00814D2B"/>
  </w:style>
  <w:style w:type="paragraph" w:styleId="Footer">
    <w:name w:val="footer"/>
    <w:basedOn w:val="Normal"/>
    <w:link w:val="FooterChar"/>
    <w:unhideWhenUsed/>
    <w:rsid w:val="00814D2B"/>
    <w:pPr>
      <w:tabs>
        <w:tab w:val="center" w:pos="4513"/>
        <w:tab w:val="right" w:pos="9026"/>
      </w:tabs>
    </w:pPr>
  </w:style>
  <w:style w:type="character" w:customStyle="1" w:styleId="FooterChar">
    <w:name w:val="Footer Char"/>
    <w:basedOn w:val="DefaultParagraphFont"/>
    <w:link w:val="Footer"/>
    <w:rsid w:val="00814D2B"/>
  </w:style>
  <w:style w:type="paragraph" w:styleId="BalloonText">
    <w:name w:val="Balloon Text"/>
    <w:basedOn w:val="Normal"/>
    <w:link w:val="BalloonTextChar"/>
    <w:uiPriority w:val="99"/>
    <w:semiHidden/>
    <w:unhideWhenUsed/>
    <w:rsid w:val="00814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2B"/>
    <w:rPr>
      <w:rFonts w:ascii="Segoe UI" w:hAnsi="Segoe UI" w:cs="Segoe UI"/>
      <w:sz w:val="18"/>
      <w:szCs w:val="18"/>
    </w:rPr>
  </w:style>
  <w:style w:type="character" w:styleId="CommentReference">
    <w:name w:val="annotation reference"/>
    <w:basedOn w:val="DefaultParagraphFont"/>
    <w:uiPriority w:val="99"/>
    <w:semiHidden/>
    <w:unhideWhenUsed/>
    <w:rsid w:val="00A234E0"/>
    <w:rPr>
      <w:sz w:val="18"/>
      <w:szCs w:val="18"/>
    </w:rPr>
  </w:style>
  <w:style w:type="paragraph" w:styleId="CommentText">
    <w:name w:val="annotation text"/>
    <w:basedOn w:val="Normal"/>
    <w:link w:val="CommentTextChar"/>
    <w:uiPriority w:val="99"/>
    <w:semiHidden/>
    <w:unhideWhenUsed/>
    <w:rsid w:val="00A234E0"/>
  </w:style>
  <w:style w:type="character" w:customStyle="1" w:styleId="CommentTextChar">
    <w:name w:val="Comment Text Char"/>
    <w:basedOn w:val="DefaultParagraphFont"/>
    <w:link w:val="CommentText"/>
    <w:uiPriority w:val="99"/>
    <w:semiHidden/>
    <w:rsid w:val="00A234E0"/>
    <w:rPr>
      <w:sz w:val="24"/>
      <w:szCs w:val="24"/>
    </w:rPr>
  </w:style>
  <w:style w:type="paragraph" w:styleId="CommentSubject">
    <w:name w:val="annotation subject"/>
    <w:basedOn w:val="CommentText"/>
    <w:next w:val="CommentText"/>
    <w:link w:val="CommentSubjectChar"/>
    <w:uiPriority w:val="99"/>
    <w:semiHidden/>
    <w:unhideWhenUsed/>
    <w:rsid w:val="00A234E0"/>
    <w:rPr>
      <w:b/>
      <w:bCs/>
      <w:sz w:val="20"/>
      <w:szCs w:val="20"/>
    </w:rPr>
  </w:style>
  <w:style w:type="character" w:customStyle="1" w:styleId="CommentSubjectChar">
    <w:name w:val="Comment Subject Char"/>
    <w:basedOn w:val="CommentTextChar"/>
    <w:link w:val="CommentSubject"/>
    <w:uiPriority w:val="99"/>
    <w:semiHidden/>
    <w:rsid w:val="00A234E0"/>
    <w:rPr>
      <w:b/>
      <w:bCs/>
      <w:sz w:val="20"/>
      <w:szCs w:val="20"/>
    </w:rPr>
  </w:style>
  <w:style w:type="character" w:styleId="Hyperlink">
    <w:name w:val="Hyperlink"/>
    <w:basedOn w:val="DefaultParagraphFont"/>
    <w:uiPriority w:val="99"/>
    <w:unhideWhenUsed/>
    <w:rsid w:val="00AC3735"/>
    <w:rPr>
      <w:color w:val="0D6CAC"/>
      <w:u w:val="single"/>
    </w:rPr>
  </w:style>
  <w:style w:type="paragraph" w:styleId="FootnoteText">
    <w:name w:val="footnote text"/>
    <w:aliases w:val="FOOTNOTES,single space,ft,Footnote Text 1,Footnote Text Char Char,Footnote Text Char Char Char,Footnote Text Char2 Char,Footnote Text Char1 Char Char,ALTS FOOTNOTE,Nbpage Moens,Fußnote,Footnote Text_1,Footnote Text Char1,fn"/>
    <w:basedOn w:val="Normal"/>
    <w:link w:val="FootnoteTextChar"/>
    <w:uiPriority w:val="99"/>
    <w:unhideWhenUsed/>
    <w:qFormat/>
    <w:rsid w:val="008B1EF2"/>
    <w:rPr>
      <w:sz w:val="20"/>
      <w:szCs w:val="20"/>
    </w:rPr>
  </w:style>
  <w:style w:type="character" w:customStyle="1" w:styleId="FootnoteTextChar">
    <w:name w:val="Footnote Text Char"/>
    <w:aliases w:val="FOOTNOTES Char,single space Char,ft Char,Footnote Text 1 Char,Footnote Text Char Char Char1,Footnote Text Char Char Char Char,Footnote Text Char2 Char Char,Footnote Text Char1 Char Char Char,ALTS FOOTNOTE Char,Nbpage Moens Char"/>
    <w:basedOn w:val="DefaultParagraphFont"/>
    <w:link w:val="FootnoteText"/>
    <w:uiPriority w:val="99"/>
    <w:rsid w:val="008B1EF2"/>
    <w:rPr>
      <w:sz w:val="20"/>
      <w:szCs w:val="20"/>
    </w:rPr>
  </w:style>
  <w:style w:type="character" w:styleId="FootnoteReference">
    <w:name w:val="footnote reference"/>
    <w:aliases w:val="16 Point,Superscript 6 Point,Superscript 6 Point + 11 pt,ftref,BVI fnr,Footnote Reference Number,Footnote Reference_LVL6,Footnote Reference_LVL61,Footnote Reference_LVL62,Footnote Reference_LVL63,Footnote Reference_LVL64,4_G"/>
    <w:basedOn w:val="DefaultParagraphFont"/>
    <w:link w:val="BVIfnrChar1CharCharCharCharChar"/>
    <w:uiPriority w:val="99"/>
    <w:unhideWhenUsed/>
    <w:qFormat/>
    <w:rsid w:val="008B1EF2"/>
    <w:rPr>
      <w:vertAlign w:val="superscript"/>
    </w:rPr>
  </w:style>
  <w:style w:type="character" w:styleId="FollowedHyperlink">
    <w:name w:val="FollowedHyperlink"/>
    <w:basedOn w:val="DefaultParagraphFont"/>
    <w:uiPriority w:val="99"/>
    <w:semiHidden/>
    <w:unhideWhenUsed/>
    <w:rsid w:val="00585F2E"/>
    <w:rPr>
      <w:color w:val="800080" w:themeColor="followedHyperlink"/>
      <w:u w:val="single"/>
    </w:rPr>
  </w:style>
  <w:style w:type="character" w:customStyle="1" w:styleId="Heading4Char">
    <w:name w:val="Heading 4 Char"/>
    <w:basedOn w:val="DefaultParagraphFont"/>
    <w:link w:val="Heading4"/>
    <w:rsid w:val="006B1A56"/>
    <w:rPr>
      <w:rFonts w:ascii="Cambria" w:eastAsia="Times New Roman" w:hAnsi="Cambria" w:cs="Times New Roman"/>
      <w:b/>
      <w:sz w:val="24"/>
      <w:szCs w:val="24"/>
      <w:lang w:val="en-US" w:eastAsia="en-US"/>
    </w:rPr>
  </w:style>
  <w:style w:type="character" w:customStyle="1" w:styleId="Heading6Char">
    <w:name w:val="Heading 6 Char"/>
    <w:basedOn w:val="DefaultParagraphFont"/>
    <w:link w:val="Heading6"/>
    <w:uiPriority w:val="9"/>
    <w:rsid w:val="006B1A56"/>
    <w:rPr>
      <w:rFonts w:ascii="Cambria" w:eastAsia="Times New Roman" w:hAnsi="Cambria" w:cs="Times New Roman"/>
      <w:b/>
      <w:bCs/>
      <w:noProof/>
      <w:sz w:val="28"/>
      <w:szCs w:val="28"/>
      <w:lang w:val="en-US" w:eastAsia="en-US"/>
    </w:rPr>
  </w:style>
  <w:style w:type="table" w:styleId="TableGrid">
    <w:name w:val="Table Grid"/>
    <w:basedOn w:val="TableNormal"/>
    <w:uiPriority w:val="59"/>
    <w:rsid w:val="006B1A56"/>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A56"/>
  </w:style>
  <w:style w:type="character" w:customStyle="1" w:styleId="Heading5Char">
    <w:name w:val="Heading 5 Char"/>
    <w:basedOn w:val="DefaultParagraphFont"/>
    <w:link w:val="Heading5"/>
    <w:uiPriority w:val="9"/>
    <w:semiHidden/>
    <w:rsid w:val="006B1A5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F1699E"/>
    <w:rPr>
      <w:rFonts w:ascii="Cambria" w:hAnsi="Cambria"/>
      <w:b/>
      <w:bCs/>
      <w:color w:val="E36C0A" w:themeColor="accent6" w:themeShade="BF"/>
      <w:sz w:val="36"/>
      <w:szCs w:val="36"/>
    </w:rPr>
  </w:style>
  <w:style w:type="paragraph" w:customStyle="1" w:styleId="top">
    <w:name w:val="top"/>
    <w:basedOn w:val="Header"/>
    <w:qFormat/>
    <w:rsid w:val="006B1A56"/>
    <w:pPr>
      <w:tabs>
        <w:tab w:val="clear" w:pos="3525"/>
        <w:tab w:val="clear" w:pos="4513"/>
        <w:tab w:val="clear" w:pos="9026"/>
        <w:tab w:val="center" w:pos="4680"/>
        <w:tab w:val="right" w:pos="9360"/>
      </w:tabs>
      <w:bidi w:val="0"/>
      <w:jc w:val="left"/>
    </w:pPr>
    <w:rPr>
      <w:rFonts w:eastAsia="Times New Roman" w:cs="Times New Roman"/>
      <w:b/>
      <w:color w:val="31849B"/>
      <w:sz w:val="20"/>
      <w:szCs w:val="20"/>
      <w:lang w:val="en-US" w:eastAsia="en-US"/>
    </w:rPr>
  </w:style>
  <w:style w:type="character" w:customStyle="1" w:styleId="Heading2Char">
    <w:name w:val="Heading 2 Char"/>
    <w:basedOn w:val="DefaultParagraphFont"/>
    <w:link w:val="Heading2"/>
    <w:uiPriority w:val="9"/>
    <w:semiHidden/>
    <w:rsid w:val="00760D73"/>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162381"/>
    <w:pPr>
      <w:tabs>
        <w:tab w:val="clear" w:pos="3525"/>
      </w:tabs>
      <w:bidi w:val="0"/>
    </w:pPr>
    <w:rPr>
      <w:rFonts w:ascii="Calibri" w:eastAsiaTheme="minorHAnsi" w:hAnsi="Calibri" w:cs="Consolas"/>
      <w:szCs w:val="21"/>
      <w:lang w:val="en-US" w:eastAsia="en-US"/>
    </w:rPr>
  </w:style>
  <w:style w:type="character" w:customStyle="1" w:styleId="PlainTextChar">
    <w:name w:val="Plain Text Char"/>
    <w:basedOn w:val="DefaultParagraphFont"/>
    <w:link w:val="PlainText"/>
    <w:uiPriority w:val="99"/>
    <w:rsid w:val="00162381"/>
    <w:rPr>
      <w:rFonts w:ascii="Calibri" w:eastAsiaTheme="minorHAnsi" w:hAnsi="Calibri" w:cs="Consolas"/>
      <w:szCs w:val="21"/>
      <w:lang w:val="en-US" w:eastAsia="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162381"/>
    <w:rPr>
      <w:rFonts w:ascii="Cambria" w:hAnsi="Cambria"/>
      <w:sz w:val="24"/>
      <w:szCs w:val="24"/>
    </w:rPr>
  </w:style>
  <w:style w:type="paragraph" w:styleId="NormalWeb">
    <w:name w:val="Normal (Web)"/>
    <w:basedOn w:val="Normal"/>
    <w:uiPriority w:val="99"/>
    <w:unhideWhenUsed/>
    <w:rsid w:val="00F23511"/>
    <w:pPr>
      <w:tabs>
        <w:tab w:val="clear" w:pos="3525"/>
      </w:tabs>
      <w:bidi w:val="0"/>
      <w:spacing w:line="285" w:lineRule="atLeast"/>
      <w:jc w:val="left"/>
    </w:pPr>
    <w:rPr>
      <w:rFonts w:ascii="Arial" w:hAnsi="Arial" w:cs="Arial"/>
      <w:color w:val="545454"/>
      <w:sz w:val="23"/>
      <w:szCs w:val="23"/>
      <w:lang w:val="en-US"/>
    </w:rPr>
  </w:style>
  <w:style w:type="character" w:customStyle="1" w:styleId="Heading3Char">
    <w:name w:val="Heading 3 Char"/>
    <w:basedOn w:val="DefaultParagraphFont"/>
    <w:link w:val="Heading3"/>
    <w:uiPriority w:val="9"/>
    <w:semiHidden/>
    <w:rsid w:val="00C80CD3"/>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C80CD3"/>
    <w:pPr>
      <w:tabs>
        <w:tab w:val="clear" w:pos="3525"/>
      </w:tabs>
      <w:bidi w:val="0"/>
      <w:spacing w:before="100" w:beforeAutospacing="1" w:after="100" w:afterAutospacing="1"/>
      <w:jc w:val="left"/>
    </w:pPr>
    <w:rPr>
      <w:rFonts w:ascii="Times New Roman" w:eastAsiaTheme="minorHAnsi" w:hAnsi="Times New Roman" w:cs="Times New Roman"/>
      <w:lang w:val="en-US" w:eastAsia="en-US"/>
    </w:rPr>
  </w:style>
  <w:style w:type="character" w:customStyle="1" w:styleId="normaltextrun">
    <w:name w:val="normaltextrun"/>
    <w:basedOn w:val="DefaultParagraphFont"/>
    <w:rsid w:val="00C80CD3"/>
  </w:style>
  <w:style w:type="character" w:customStyle="1" w:styleId="eop">
    <w:name w:val="eop"/>
    <w:basedOn w:val="DefaultParagraphFont"/>
    <w:rsid w:val="00C80CD3"/>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8B5C73"/>
    <w:pPr>
      <w:tabs>
        <w:tab w:val="clear" w:pos="3525"/>
      </w:tabs>
      <w:bidi w:val="0"/>
      <w:spacing w:line="240" w:lineRule="exact"/>
      <w:jc w:val="left"/>
    </w:pPr>
    <w:rPr>
      <w:rFonts w:asciiTheme="minorHAnsi" w:hAnsiTheme="minorHAnsi"/>
      <w:szCs w:val="22"/>
      <w:vertAlign w:val="superscript"/>
    </w:rPr>
  </w:style>
  <w:style w:type="paragraph" w:customStyle="1" w:styleId="Hoofdtekst">
    <w:name w:val="Hoofdtekst"/>
    <w:rsid w:val="008B5C7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UnresolvedMention">
    <w:name w:val="Unresolved Mention"/>
    <w:basedOn w:val="DefaultParagraphFont"/>
    <w:uiPriority w:val="99"/>
    <w:semiHidden/>
    <w:unhideWhenUsed/>
    <w:rsid w:val="008B5C73"/>
    <w:rPr>
      <w:color w:val="605E5C"/>
      <w:shd w:val="clear" w:color="auto" w:fill="E1DFDD"/>
    </w:rPr>
  </w:style>
  <w:style w:type="paragraph" w:styleId="BlockText">
    <w:name w:val="Block Text"/>
    <w:basedOn w:val="Normal"/>
    <w:uiPriority w:val="99"/>
    <w:unhideWhenUsed/>
    <w:rsid w:val="00957E76"/>
    <w:pPr>
      <w:tabs>
        <w:tab w:val="clear" w:pos="3525"/>
      </w:tabs>
      <w:bidi w:val="0"/>
      <w:spacing w:after="200" w:line="276" w:lineRule="auto"/>
      <w:ind w:left="-5" w:right="19"/>
    </w:pPr>
    <w:rPr>
      <w:rFonts w:asciiTheme="minorHAnsi" w:eastAsiaTheme="minorHAnsi" w:hAnsiTheme="minorHAnsi"/>
      <w:b/>
      <w:bCs/>
      <w:szCs w:val="22"/>
      <w:lang w:val="en-US" w:eastAsia="en-US"/>
    </w:rPr>
  </w:style>
  <w:style w:type="paragraph" w:customStyle="1" w:styleId="Style1">
    <w:name w:val="Style1"/>
    <w:basedOn w:val="Normal"/>
    <w:qFormat/>
    <w:rsid w:val="004556F3"/>
    <w:pPr>
      <w:spacing w:after="150"/>
    </w:pPr>
    <w:rPr>
      <w:rFonts w:asciiTheme="minorHAnsi" w:hAnsiTheme="minorHAnsi" w:cstheme="minorHAnsi"/>
      <w:szCs w:val="22"/>
    </w:rPr>
  </w:style>
  <w:style w:type="paragraph" w:styleId="Title">
    <w:name w:val="Title"/>
    <w:basedOn w:val="Normal"/>
    <w:next w:val="Normal"/>
    <w:link w:val="TitleChar"/>
    <w:uiPriority w:val="10"/>
    <w:qFormat/>
    <w:rsid w:val="004556F3"/>
    <w:pPr>
      <w:tabs>
        <w:tab w:val="clear" w:pos="3525"/>
      </w:tabs>
      <w:bidi w:val="0"/>
      <w:contextualSpacing/>
      <w:jc w:val="left"/>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4556F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2104">
      <w:bodyDiv w:val="1"/>
      <w:marLeft w:val="0"/>
      <w:marRight w:val="0"/>
      <w:marTop w:val="0"/>
      <w:marBottom w:val="0"/>
      <w:divBdr>
        <w:top w:val="none" w:sz="0" w:space="0" w:color="auto"/>
        <w:left w:val="none" w:sz="0" w:space="0" w:color="auto"/>
        <w:bottom w:val="none" w:sz="0" w:space="0" w:color="auto"/>
        <w:right w:val="none" w:sz="0" w:space="0" w:color="auto"/>
      </w:divBdr>
    </w:div>
    <w:div w:id="518086527">
      <w:bodyDiv w:val="1"/>
      <w:marLeft w:val="0"/>
      <w:marRight w:val="0"/>
      <w:marTop w:val="0"/>
      <w:marBottom w:val="0"/>
      <w:divBdr>
        <w:top w:val="none" w:sz="0" w:space="0" w:color="auto"/>
        <w:left w:val="none" w:sz="0" w:space="0" w:color="auto"/>
        <w:bottom w:val="none" w:sz="0" w:space="0" w:color="auto"/>
        <w:right w:val="none" w:sz="0" w:space="0" w:color="auto"/>
      </w:divBdr>
      <w:divsChild>
        <w:div w:id="875433275">
          <w:marLeft w:val="0"/>
          <w:marRight w:val="0"/>
          <w:marTop w:val="0"/>
          <w:marBottom w:val="0"/>
          <w:divBdr>
            <w:top w:val="none" w:sz="0" w:space="0" w:color="auto"/>
            <w:left w:val="none" w:sz="0" w:space="0" w:color="auto"/>
            <w:bottom w:val="none" w:sz="0" w:space="0" w:color="auto"/>
            <w:right w:val="none" w:sz="0" w:space="0" w:color="auto"/>
          </w:divBdr>
        </w:div>
        <w:div w:id="501118095">
          <w:marLeft w:val="0"/>
          <w:marRight w:val="0"/>
          <w:marTop w:val="0"/>
          <w:marBottom w:val="0"/>
          <w:divBdr>
            <w:top w:val="none" w:sz="0" w:space="0" w:color="auto"/>
            <w:left w:val="none" w:sz="0" w:space="0" w:color="auto"/>
            <w:bottom w:val="none" w:sz="0" w:space="0" w:color="auto"/>
            <w:right w:val="none" w:sz="0" w:space="0" w:color="auto"/>
          </w:divBdr>
        </w:div>
        <w:div w:id="1253008115">
          <w:marLeft w:val="0"/>
          <w:marRight w:val="0"/>
          <w:marTop w:val="0"/>
          <w:marBottom w:val="0"/>
          <w:divBdr>
            <w:top w:val="none" w:sz="0" w:space="0" w:color="auto"/>
            <w:left w:val="none" w:sz="0" w:space="0" w:color="auto"/>
            <w:bottom w:val="none" w:sz="0" w:space="0" w:color="auto"/>
            <w:right w:val="none" w:sz="0" w:space="0" w:color="auto"/>
          </w:divBdr>
        </w:div>
        <w:div w:id="786773785">
          <w:marLeft w:val="0"/>
          <w:marRight w:val="0"/>
          <w:marTop w:val="0"/>
          <w:marBottom w:val="0"/>
          <w:divBdr>
            <w:top w:val="none" w:sz="0" w:space="0" w:color="auto"/>
            <w:left w:val="none" w:sz="0" w:space="0" w:color="auto"/>
            <w:bottom w:val="none" w:sz="0" w:space="0" w:color="auto"/>
            <w:right w:val="none" w:sz="0" w:space="0" w:color="auto"/>
          </w:divBdr>
        </w:div>
        <w:div w:id="1240483902">
          <w:marLeft w:val="0"/>
          <w:marRight w:val="0"/>
          <w:marTop w:val="0"/>
          <w:marBottom w:val="0"/>
          <w:divBdr>
            <w:top w:val="none" w:sz="0" w:space="0" w:color="auto"/>
            <w:left w:val="none" w:sz="0" w:space="0" w:color="auto"/>
            <w:bottom w:val="none" w:sz="0" w:space="0" w:color="auto"/>
            <w:right w:val="none" w:sz="0" w:space="0" w:color="auto"/>
          </w:divBdr>
        </w:div>
        <w:div w:id="218522010">
          <w:marLeft w:val="0"/>
          <w:marRight w:val="0"/>
          <w:marTop w:val="0"/>
          <w:marBottom w:val="0"/>
          <w:divBdr>
            <w:top w:val="none" w:sz="0" w:space="0" w:color="auto"/>
            <w:left w:val="none" w:sz="0" w:space="0" w:color="auto"/>
            <w:bottom w:val="none" w:sz="0" w:space="0" w:color="auto"/>
            <w:right w:val="none" w:sz="0" w:space="0" w:color="auto"/>
          </w:divBdr>
        </w:div>
        <w:div w:id="1703629873">
          <w:marLeft w:val="0"/>
          <w:marRight w:val="0"/>
          <w:marTop w:val="0"/>
          <w:marBottom w:val="0"/>
          <w:divBdr>
            <w:top w:val="none" w:sz="0" w:space="0" w:color="auto"/>
            <w:left w:val="none" w:sz="0" w:space="0" w:color="auto"/>
            <w:bottom w:val="none" w:sz="0" w:space="0" w:color="auto"/>
            <w:right w:val="none" w:sz="0" w:space="0" w:color="auto"/>
          </w:divBdr>
        </w:div>
        <w:div w:id="1999459878">
          <w:marLeft w:val="0"/>
          <w:marRight w:val="0"/>
          <w:marTop w:val="0"/>
          <w:marBottom w:val="0"/>
          <w:divBdr>
            <w:top w:val="none" w:sz="0" w:space="0" w:color="auto"/>
            <w:left w:val="none" w:sz="0" w:space="0" w:color="auto"/>
            <w:bottom w:val="none" w:sz="0" w:space="0" w:color="auto"/>
            <w:right w:val="none" w:sz="0" w:space="0" w:color="auto"/>
          </w:divBdr>
        </w:div>
      </w:divsChild>
    </w:div>
    <w:div w:id="688916029">
      <w:bodyDiv w:val="1"/>
      <w:marLeft w:val="0"/>
      <w:marRight w:val="0"/>
      <w:marTop w:val="0"/>
      <w:marBottom w:val="0"/>
      <w:divBdr>
        <w:top w:val="none" w:sz="0" w:space="0" w:color="auto"/>
        <w:left w:val="none" w:sz="0" w:space="0" w:color="auto"/>
        <w:bottom w:val="none" w:sz="0" w:space="0" w:color="auto"/>
        <w:right w:val="none" w:sz="0" w:space="0" w:color="auto"/>
      </w:divBdr>
    </w:div>
    <w:div w:id="765226235">
      <w:bodyDiv w:val="1"/>
      <w:marLeft w:val="0"/>
      <w:marRight w:val="0"/>
      <w:marTop w:val="0"/>
      <w:marBottom w:val="0"/>
      <w:divBdr>
        <w:top w:val="none" w:sz="0" w:space="0" w:color="auto"/>
        <w:left w:val="none" w:sz="0" w:space="0" w:color="auto"/>
        <w:bottom w:val="none" w:sz="0" w:space="0" w:color="auto"/>
        <w:right w:val="none" w:sz="0" w:space="0" w:color="auto"/>
      </w:divBdr>
    </w:div>
    <w:div w:id="1005937139">
      <w:bodyDiv w:val="1"/>
      <w:marLeft w:val="0"/>
      <w:marRight w:val="0"/>
      <w:marTop w:val="0"/>
      <w:marBottom w:val="0"/>
      <w:divBdr>
        <w:top w:val="none" w:sz="0" w:space="0" w:color="auto"/>
        <w:left w:val="none" w:sz="0" w:space="0" w:color="auto"/>
        <w:bottom w:val="none" w:sz="0" w:space="0" w:color="auto"/>
        <w:right w:val="none" w:sz="0" w:space="0" w:color="auto"/>
      </w:divBdr>
    </w:div>
    <w:div w:id="1585844306">
      <w:bodyDiv w:val="1"/>
      <w:marLeft w:val="0"/>
      <w:marRight w:val="0"/>
      <w:marTop w:val="0"/>
      <w:marBottom w:val="0"/>
      <w:divBdr>
        <w:top w:val="none" w:sz="0" w:space="0" w:color="auto"/>
        <w:left w:val="none" w:sz="0" w:space="0" w:color="auto"/>
        <w:bottom w:val="none" w:sz="0" w:space="0" w:color="auto"/>
        <w:right w:val="none" w:sz="0" w:space="0" w:color="auto"/>
      </w:divBdr>
    </w:div>
    <w:div w:id="16816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dimm.md/en/the-programme-for-attracting-remittances-into-economy" TargetMode="External"/><Relationship Id="rId2" Type="http://schemas.openxmlformats.org/officeDocument/2006/relationships/hyperlink" Target="https://www.fao.org/in-action/fsn-caucasus-asia/areas-of-work/migration/en/" TargetMode="External"/><Relationship Id="rId1" Type="http://schemas.openxmlformats.org/officeDocument/2006/relationships/hyperlink" Target="https://www.ilo.org/wcmsp5/groups/public/---dgreports/---dcomm/---publ/documents/publication/wcms_808935.pdf)" TargetMode="External"/><Relationship Id="rId6" Type="http://schemas.openxmlformats.org/officeDocument/2006/relationships/hyperlink" Target="http://www.fao.org/in-action/fsn-caucasus-asia/areas-of-work/migration/en/" TargetMode="External"/><Relationship Id="rId5" Type="http://schemas.openxmlformats.org/officeDocument/2006/relationships/hyperlink" Target="https://onlinelibrary.wiley.com/doi/pdf/10.4073/csr.2016.1" TargetMode="External"/><Relationship Id="rId4" Type="http://schemas.openxmlformats.org/officeDocument/2006/relationships/hyperlink" Target="https://onlinelibrary.wiley.com/doi/pdf/10.4073/csr.2016.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r/activities/consultations/matching_grant_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5036-D94A-43F7-989A-E7754404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Blanck, Max (ESA)</dc:creator>
  <cp:lastModifiedBy>Polak, Elise (ESA)</cp:lastModifiedBy>
  <cp:revision>9</cp:revision>
  <cp:lastPrinted>2016-04-25T12:43:00Z</cp:lastPrinted>
  <dcterms:created xsi:type="dcterms:W3CDTF">2021-05-19T18:15:00Z</dcterms:created>
  <dcterms:modified xsi:type="dcterms:W3CDTF">2022-02-16T11:57:00Z</dcterms:modified>
</cp:coreProperties>
</file>