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4FECC" w14:textId="2090F442" w:rsidR="008D225F" w:rsidRPr="00B614E0" w:rsidRDefault="00B614E0" w:rsidP="001C452E">
      <w:pPr>
        <w:spacing w:after="200"/>
        <w:ind w:left="-5" w:right="19"/>
        <w:rPr>
          <w:lang w:val="es-ES"/>
        </w:rPr>
      </w:pPr>
      <w:r w:rsidRPr="00B614E0">
        <w:rPr>
          <w:rFonts w:cs="Arial"/>
          <w:b/>
          <w:bCs/>
          <w:noProof/>
          <w:color w:val="E36C0A" w:themeColor="accent6" w:themeShade="BF"/>
          <w:sz w:val="36"/>
          <w:szCs w:val="36"/>
          <w:lang w:val="es-ES" w:eastAsia="zh-CN"/>
        </w:rPr>
        <w:t>Herramientas de recopilación y análisis de datos para la seguridad alimentaria y la nutrición - Consulta electrónico sobre el borrador V0 del informe propuesta por el Comité Directivo del HLPE y el equipo del proyecto</w:t>
      </w:r>
    </w:p>
    <w:p w14:paraId="7A969A82" w14:textId="26D47DBC" w:rsidR="00F54D6C" w:rsidRPr="00B614E0" w:rsidRDefault="00F54D6C" w:rsidP="001C452E">
      <w:pPr>
        <w:spacing w:after="200"/>
        <w:ind w:left="-5" w:right="19"/>
        <w:rPr>
          <w:lang w:val="es-ES"/>
        </w:rPr>
      </w:pPr>
    </w:p>
    <w:p w14:paraId="394C5D2A" w14:textId="167D1AF2" w:rsidR="00F728DE" w:rsidRDefault="00B614E0" w:rsidP="00B614E0">
      <w:pPr>
        <w:rPr>
          <w:rFonts w:cstheme="minorHAnsi"/>
          <w:color w:val="000000"/>
          <w:lang w:val="es-ES"/>
        </w:rPr>
      </w:pPr>
      <w:r>
        <w:rPr>
          <w:rFonts w:cstheme="minorHAnsi"/>
          <w:noProof/>
          <w:color w:val="000000"/>
        </w:rPr>
        <w:drawing>
          <wp:anchor distT="0" distB="0" distL="114300" distR="114300" simplePos="0" relativeHeight="251659264" behindDoc="0" locked="0" layoutInCell="1" allowOverlap="1" wp14:anchorId="3CE3AE7E" wp14:editId="587F63B2">
            <wp:simplePos x="0" y="0"/>
            <wp:positionH relativeFrom="margin">
              <wp:align>right</wp:align>
            </wp:positionH>
            <wp:positionV relativeFrom="paragraph">
              <wp:posOffset>15603</wp:posOffset>
            </wp:positionV>
            <wp:extent cx="1663065" cy="1663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PE_data_collection_EN.PNG"/>
                    <pic:cNvPicPr/>
                  </pic:nvPicPr>
                  <pic:blipFill>
                    <a:blip r:embed="rId1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14:sizeRelH relativeFrom="page">
              <wp14:pctWidth>0</wp14:pctWidth>
            </wp14:sizeRelH>
            <wp14:sizeRelV relativeFrom="page">
              <wp14:pctHeight>0</wp14:pctHeight>
            </wp14:sizeRelV>
          </wp:anchor>
        </w:drawing>
      </w:r>
      <w:r w:rsidR="004F07D0" w:rsidRPr="004F07D0">
        <w:rPr>
          <w:rFonts w:cstheme="minorHAnsi"/>
          <w:color w:val="000000"/>
          <w:lang w:val="es-ES"/>
        </w:rPr>
        <w:t xml:space="preserve">Durante su 46º período de sesiones plenarias (del 14 al 18 de octubre de 2019), el Comité de Seguridad Alimentaria Mundial (CSA) adoptó su Programa de trabajo cuatrienal (PTPA 2020-2023), que incluye una solicitud al Grupo de alto nivel de expertos en Seguridad Alimentaria y Nutrición (CSA-HLPE, por sus siglas en inglés) para que elabore un informe sobre “Herramientas de recopilación y análisis de datos” para la seguridad alimentaria y la nutrición, que se presentará en el 50º período de sesiones plenarias del CSA en octubre de 2022 (para acceder al PTPA, haga clic </w:t>
      </w:r>
      <w:hyperlink r:id="rId12" w:history="1">
        <w:r w:rsidR="004F07D0" w:rsidRPr="00B614E0">
          <w:rPr>
            <w:rStyle w:val="Hyperlink"/>
            <w:rFonts w:cstheme="minorHAnsi"/>
            <w:lang w:val="es-ES"/>
          </w:rPr>
          <w:t>aquí</w:t>
        </w:r>
      </w:hyperlink>
      <w:r w:rsidR="004F07D0" w:rsidRPr="004F07D0">
        <w:rPr>
          <w:rFonts w:cstheme="minorHAnsi"/>
          <w:color w:val="000000"/>
          <w:lang w:val="es-ES"/>
        </w:rPr>
        <w:t>).</w:t>
      </w:r>
    </w:p>
    <w:p w14:paraId="500EC46B" w14:textId="77777777" w:rsidR="004F07D0" w:rsidRPr="004F07D0" w:rsidRDefault="004F07D0" w:rsidP="00B614E0">
      <w:pPr>
        <w:rPr>
          <w:rFonts w:cstheme="minorHAnsi"/>
          <w:color w:val="000000"/>
          <w:lang w:val="es-ES"/>
        </w:rPr>
      </w:pPr>
    </w:p>
    <w:p w14:paraId="3FD7D704" w14:textId="043E8CD3" w:rsidR="00FC119D" w:rsidRPr="00B614E0" w:rsidRDefault="00B614E0" w:rsidP="00B614E0">
      <w:pPr>
        <w:spacing w:after="240"/>
        <w:rPr>
          <w:rFonts w:cstheme="minorHAnsi"/>
          <w:color w:val="000000"/>
          <w:lang w:val="es-ES"/>
        </w:rPr>
      </w:pPr>
      <w:r w:rsidRPr="00B614E0">
        <w:rPr>
          <w:rFonts w:cstheme="minorHAnsi"/>
          <w:color w:val="000000"/>
          <w:lang w:val="es-ES"/>
        </w:rPr>
        <w:t>El informe, que proporcionará recomendaciones a la línea de trabajo del CSA sobre “Herramientas de recopilación y análisis de datos”, se encargará de:</w:t>
      </w:r>
    </w:p>
    <w:p w14:paraId="0FEAF008" w14:textId="77777777" w:rsidR="00B614E0" w:rsidRPr="00B614E0" w:rsidRDefault="00B614E0" w:rsidP="00B614E0">
      <w:pPr>
        <w:pStyle w:val="ListParagraph"/>
        <w:numPr>
          <w:ilvl w:val="0"/>
          <w:numId w:val="30"/>
        </w:numPr>
        <w:spacing w:line="240" w:lineRule="auto"/>
        <w:rPr>
          <w:rFonts w:eastAsia="Calibri" w:cstheme="minorHAnsi"/>
          <w:color w:val="000000" w:themeColor="text1"/>
          <w:lang w:val="es-ES" w:eastAsia="en-GB"/>
        </w:rPr>
      </w:pPr>
      <w:r w:rsidRPr="00B614E0">
        <w:rPr>
          <w:rFonts w:eastAsia="Calibri" w:cstheme="minorHAnsi"/>
          <w:color w:val="000000" w:themeColor="text1"/>
          <w:lang w:val="es-ES" w:eastAsia="en-GB"/>
        </w:rPr>
        <w:t>Identificar las barreras que impiden la recopilación de datos de calidad, su análisis y su uso en la toma de decisiones;</w:t>
      </w:r>
    </w:p>
    <w:p w14:paraId="43070A18" w14:textId="77777777" w:rsidR="00B614E0" w:rsidRPr="00B614E0" w:rsidRDefault="00B614E0" w:rsidP="00B614E0">
      <w:pPr>
        <w:pStyle w:val="ListParagraph"/>
        <w:numPr>
          <w:ilvl w:val="0"/>
          <w:numId w:val="30"/>
        </w:numPr>
        <w:spacing w:line="240" w:lineRule="auto"/>
        <w:rPr>
          <w:rFonts w:eastAsia="Calibri" w:cstheme="minorHAnsi"/>
          <w:color w:val="000000" w:themeColor="text1"/>
          <w:lang w:val="es-ES" w:eastAsia="en-GB"/>
        </w:rPr>
      </w:pPr>
      <w:r w:rsidRPr="00B614E0">
        <w:rPr>
          <w:rFonts w:eastAsia="Calibri" w:cstheme="minorHAnsi"/>
          <w:color w:val="000000" w:themeColor="text1"/>
          <w:lang w:val="es-ES" w:eastAsia="en-GB"/>
        </w:rPr>
        <w:t>Identificar las lagunas específicas con prioridad elevada en la producción y el análisis de datos no cubiertas por iniciativas en curso;</w:t>
      </w:r>
    </w:p>
    <w:p w14:paraId="001B147D" w14:textId="77777777" w:rsidR="00B614E0" w:rsidRPr="00B614E0" w:rsidRDefault="00B614E0" w:rsidP="00B614E0">
      <w:pPr>
        <w:pStyle w:val="ListParagraph"/>
        <w:numPr>
          <w:ilvl w:val="0"/>
          <w:numId w:val="30"/>
        </w:numPr>
        <w:spacing w:line="240" w:lineRule="auto"/>
        <w:rPr>
          <w:rFonts w:eastAsia="Calibri" w:cstheme="minorHAnsi"/>
          <w:color w:val="000000" w:themeColor="text1"/>
          <w:lang w:val="es-ES" w:eastAsia="en-GB"/>
        </w:rPr>
      </w:pPr>
      <w:r w:rsidRPr="00B614E0">
        <w:rPr>
          <w:rFonts w:eastAsia="Calibri" w:cstheme="minorHAnsi"/>
          <w:color w:val="000000" w:themeColor="text1"/>
          <w:lang w:val="es-ES" w:eastAsia="en-GB"/>
        </w:rPr>
        <w:t>Destacar los beneficios del uso de datos y los costes de oportunidad de no utilizarlos para la toma de decisiones;</w:t>
      </w:r>
    </w:p>
    <w:p w14:paraId="29EDA3C1" w14:textId="77777777" w:rsidR="00B614E0" w:rsidRPr="00B614E0" w:rsidRDefault="00B614E0" w:rsidP="00B614E0">
      <w:pPr>
        <w:pStyle w:val="ListParagraph"/>
        <w:numPr>
          <w:ilvl w:val="0"/>
          <w:numId w:val="30"/>
        </w:numPr>
        <w:spacing w:line="240" w:lineRule="auto"/>
        <w:rPr>
          <w:rFonts w:eastAsia="Calibri" w:cstheme="minorHAnsi"/>
          <w:color w:val="000000" w:themeColor="text1"/>
          <w:lang w:val="es-ES" w:eastAsia="en-GB"/>
        </w:rPr>
      </w:pPr>
      <w:r w:rsidRPr="00B614E0">
        <w:rPr>
          <w:rFonts w:eastAsia="Calibri" w:cstheme="minorHAnsi"/>
          <w:color w:val="000000" w:themeColor="text1"/>
          <w:lang w:val="es-ES" w:eastAsia="en-GB"/>
        </w:rPr>
        <w:t>Ilustrar las iniciativas que han fomentado la toma de decisiones basadas en evidencias en la agricultura y la seguridad alimentaria en los sectores público, privado y académico, así como los enfoques que no han funcionado;</w:t>
      </w:r>
    </w:p>
    <w:p w14:paraId="3A73CA91" w14:textId="77777777" w:rsidR="00B614E0" w:rsidRPr="00B614E0" w:rsidRDefault="00B614E0" w:rsidP="00B614E0">
      <w:pPr>
        <w:pStyle w:val="ListParagraph"/>
        <w:numPr>
          <w:ilvl w:val="0"/>
          <w:numId w:val="30"/>
        </w:numPr>
        <w:spacing w:line="240" w:lineRule="auto"/>
        <w:rPr>
          <w:rFonts w:eastAsia="Calibri" w:cstheme="minorHAnsi"/>
          <w:color w:val="000000" w:themeColor="text1"/>
          <w:lang w:val="es-ES" w:eastAsia="en-GB"/>
        </w:rPr>
      </w:pPr>
      <w:r w:rsidRPr="00B614E0">
        <w:rPr>
          <w:rFonts w:eastAsia="Calibri" w:cstheme="minorHAnsi"/>
          <w:color w:val="000000" w:themeColor="text1"/>
          <w:lang w:val="es-ES" w:eastAsia="en-GB"/>
        </w:rPr>
        <w:t xml:space="preserve">Proporcionar ideas sobre cómo garantizar que la recopilación de datos y su utilización den voz a las personas más afectadas por las políticas derivadas de esos datos, incluidos los agricultores y otros productores de alimentos. </w:t>
      </w:r>
    </w:p>
    <w:p w14:paraId="68A5E7F2" w14:textId="77777777" w:rsidR="00B614E0" w:rsidRDefault="00B614E0" w:rsidP="00B614E0">
      <w:pPr>
        <w:rPr>
          <w:rFonts w:eastAsia="Calibri" w:cstheme="minorHAnsi"/>
          <w:color w:val="000000" w:themeColor="text1"/>
          <w:lang w:val="es-ES" w:eastAsia="en-GB"/>
        </w:rPr>
      </w:pPr>
    </w:p>
    <w:p w14:paraId="266757F4" w14:textId="04F68557" w:rsidR="00FC119D" w:rsidRPr="00B614E0" w:rsidRDefault="00B614E0" w:rsidP="00FC119D">
      <w:pPr>
        <w:rPr>
          <w:rFonts w:cstheme="minorHAnsi"/>
          <w:color w:val="000000"/>
          <w:lang w:val="es-ES"/>
        </w:rPr>
      </w:pPr>
      <w:r w:rsidRPr="00B614E0">
        <w:rPr>
          <w:rFonts w:cstheme="minorHAnsi"/>
          <w:color w:val="000000"/>
          <w:lang w:val="es-ES"/>
        </w:rPr>
        <w:t xml:space="preserve">Para implementar esta solicitud del CSA, el Grupo de alto nivel de expertos está lanzando una consulta electrónica abierta para solicitar opiniones y comentarios sobre el </w:t>
      </w:r>
      <w:hyperlink r:id="rId13" w:history="1">
        <w:r w:rsidRPr="00641EF4">
          <w:rPr>
            <w:rStyle w:val="Hyperlink"/>
            <w:rFonts w:cstheme="minorHAnsi"/>
            <w:b/>
            <w:lang w:val="es-ES"/>
          </w:rPr>
          <w:t>borrador V0 del informe</w:t>
        </w:r>
      </w:hyperlink>
      <w:r w:rsidRPr="00B614E0">
        <w:rPr>
          <w:rFonts w:cstheme="minorHAnsi"/>
          <w:color w:val="000000"/>
          <w:lang w:val="es-ES"/>
        </w:rPr>
        <w:t>. Para participar en la consulta electrónica, visite los enlaces de las consultas electrónicas del HLPE:</w:t>
      </w:r>
    </w:p>
    <w:p w14:paraId="27C17D92" w14:textId="0C5963A1" w:rsidR="00FC119D" w:rsidRPr="00641EF4" w:rsidRDefault="00FC119D" w:rsidP="00FC119D">
      <w:pPr>
        <w:rPr>
          <w:rStyle w:val="Hyperlink"/>
          <w:lang w:val="es-ES"/>
        </w:rPr>
      </w:pPr>
      <w:r w:rsidRPr="00641EF4">
        <w:rPr>
          <w:rFonts w:cstheme="minorHAnsi"/>
          <w:color w:val="000000"/>
          <w:lang w:val="es-ES"/>
        </w:rPr>
        <w:lastRenderedPageBreak/>
        <w:t xml:space="preserve">EN: </w:t>
      </w:r>
      <w:hyperlink r:id="rId14" w:tgtFrame="_blank" w:history="1">
        <w:r w:rsidRPr="00641EF4">
          <w:rPr>
            <w:rStyle w:val="Hyperlink"/>
            <w:rFonts w:cstheme="minorHAnsi"/>
            <w:lang w:val="es-ES"/>
          </w:rPr>
          <w:t>https://www.fao.org/fsnforum/consultations/HLPE_data_collection_analysis_tools_V0</w:t>
        </w:r>
      </w:hyperlink>
    </w:p>
    <w:p w14:paraId="44FB2095" w14:textId="02C53C48" w:rsidR="00FC119D" w:rsidRPr="00641EF4" w:rsidRDefault="00FC119D" w:rsidP="00FC119D">
      <w:pPr>
        <w:rPr>
          <w:rFonts w:cstheme="minorHAnsi"/>
          <w:color w:val="000000"/>
          <w:lang w:val="es-ES"/>
        </w:rPr>
      </w:pPr>
      <w:r w:rsidRPr="00641EF4">
        <w:rPr>
          <w:rFonts w:cstheme="minorHAnsi"/>
          <w:color w:val="000000"/>
          <w:lang w:val="es-ES"/>
        </w:rPr>
        <w:t xml:space="preserve">ES: </w:t>
      </w:r>
      <w:hyperlink r:id="rId15" w:history="1">
        <w:r w:rsidRPr="00641EF4">
          <w:rPr>
            <w:rStyle w:val="Hyperlink"/>
            <w:rFonts w:cstheme="minorHAnsi"/>
            <w:lang w:val="es-ES"/>
          </w:rPr>
          <w:t>https://www.fao.org/fsnforum/es/consultations/HLPE_data_collection_analysis_tools_V0</w:t>
        </w:r>
      </w:hyperlink>
    </w:p>
    <w:p w14:paraId="711DC619" w14:textId="0EFF2D6A" w:rsidR="00FC119D" w:rsidRPr="00641EF4" w:rsidRDefault="00FC119D" w:rsidP="00FC119D">
      <w:pPr>
        <w:spacing w:after="240"/>
        <w:rPr>
          <w:rFonts w:cstheme="minorHAnsi"/>
          <w:color w:val="000000"/>
          <w:lang w:val="es-ES"/>
        </w:rPr>
      </w:pPr>
      <w:r w:rsidRPr="00641EF4">
        <w:rPr>
          <w:rFonts w:cstheme="minorHAnsi"/>
          <w:color w:val="000000"/>
          <w:lang w:val="es-ES"/>
        </w:rPr>
        <w:t xml:space="preserve">FR: </w:t>
      </w:r>
      <w:hyperlink r:id="rId16" w:history="1">
        <w:r w:rsidRPr="00641EF4">
          <w:rPr>
            <w:rStyle w:val="Hyperlink"/>
            <w:rFonts w:cstheme="minorHAnsi"/>
            <w:lang w:val="es-ES"/>
          </w:rPr>
          <w:t>https://www.fao.org/fsnforum/fr/consultations/HLPE_data_collection_analysis_tools_V0</w:t>
        </w:r>
      </w:hyperlink>
    </w:p>
    <w:p w14:paraId="5BE640E4" w14:textId="32EB1054" w:rsidR="00B614E0" w:rsidRPr="00B614E0" w:rsidRDefault="00B614E0" w:rsidP="00B614E0">
      <w:pPr>
        <w:spacing w:after="200"/>
        <w:ind w:left="-5" w:right="19"/>
        <w:rPr>
          <w:lang w:val="es-ES"/>
        </w:rPr>
      </w:pPr>
      <w:r w:rsidRPr="00B614E0">
        <w:rPr>
          <w:lang w:val="es-ES"/>
        </w:rPr>
        <w:t xml:space="preserve">El informe se presentará en el 50º período de sesiones plenarias del CSA en octubre de 2022. Como parte del proceso de elaboración de sus informes, el HLPE está organizando una consulta para recabar aportaciones, sugerencias y comentarios sobre el presente borrador preliminar V0 (más detalles sobre las diferentes etapas del proceso, disponibles </w:t>
      </w:r>
      <w:hyperlink r:id="rId17" w:history="1">
        <w:r w:rsidRPr="00B614E0">
          <w:rPr>
            <w:rStyle w:val="Hyperlink"/>
            <w:lang w:val="es-ES"/>
          </w:rPr>
          <w:t>aquí</w:t>
        </w:r>
      </w:hyperlink>
      <w:r w:rsidRPr="00B614E0">
        <w:rPr>
          <w:lang w:val="es-ES"/>
        </w:rPr>
        <w:t>). El HLPE utilizará los resultados de esta consulta para seguir elaborando el informe, que luego se someterá al examen de expertos externos, antes de su finalización y aprobación por el Comité Directivo del HLPE.</w:t>
      </w:r>
    </w:p>
    <w:p w14:paraId="226D2CD9" w14:textId="77777777" w:rsidR="00B614E0" w:rsidRDefault="00B614E0" w:rsidP="00B614E0">
      <w:pPr>
        <w:spacing w:after="200"/>
        <w:ind w:left="-5" w:right="19"/>
        <w:rPr>
          <w:lang w:val="es-ES"/>
        </w:rPr>
      </w:pPr>
      <w:r w:rsidRPr="00B614E0">
        <w:rPr>
          <w:lang w:val="es-ES"/>
        </w:rPr>
        <w:t>Los borradores V0 de los informes del HLPE se presentan deliberadamente en una fase lo suficientemente temprana del proceso -como un trabajo en curso -con su gama de imperfecciones- para que haya tiempo suficiente para considerar adecuadamente los comentarios recibidos en la elaboración del informe. Las consultas electrónicas son una parte fundamental del diálogo inclusivo y basado en el conocimiento entre el Comité Directivo del HLPE y la comunidad del conocimiento en general.</w:t>
      </w:r>
    </w:p>
    <w:p w14:paraId="0BAAE252" w14:textId="77777777" w:rsidR="00B614E0" w:rsidRPr="00B614E0" w:rsidRDefault="00B614E0" w:rsidP="00D677D7">
      <w:pPr>
        <w:spacing w:after="200"/>
        <w:ind w:left="-5" w:right="19"/>
        <w:rPr>
          <w:b/>
          <w:lang w:val="es-ES"/>
        </w:rPr>
      </w:pPr>
      <w:r w:rsidRPr="00B614E0">
        <w:rPr>
          <w:b/>
          <w:lang w:val="es-ES"/>
        </w:rPr>
        <w:t xml:space="preserve">¿Cómo puede contribuir a la elaboración del informe? </w:t>
      </w:r>
    </w:p>
    <w:p w14:paraId="31D4A99D" w14:textId="53A86449" w:rsidR="00FC119D" w:rsidRPr="00B614E0" w:rsidRDefault="00B614E0" w:rsidP="00B614E0">
      <w:pPr>
        <w:spacing w:after="200"/>
        <w:ind w:left="-5" w:right="19"/>
        <w:rPr>
          <w:lang w:val="es-ES"/>
        </w:rPr>
      </w:pPr>
      <w:r w:rsidRPr="00B614E0">
        <w:rPr>
          <w:lang w:val="es-ES"/>
        </w:rPr>
        <w:t xml:space="preserve">Este </w:t>
      </w:r>
      <w:hyperlink r:id="rId18" w:history="1">
        <w:r w:rsidRPr="00641EF4">
          <w:rPr>
            <w:rStyle w:val="Hyperlink"/>
            <w:b/>
            <w:lang w:val="es-ES"/>
          </w:rPr>
          <w:t>borrador V0</w:t>
        </w:r>
      </w:hyperlink>
      <w:r w:rsidRPr="00B614E0">
        <w:rPr>
          <w:lang w:val="es-ES"/>
        </w:rPr>
        <w:t xml:space="preserve"> identifica zonas para recomendaciones y contribuciones sobre las que el HLPE agradecería sugerencias o propuestas. El HLPE apreciará las contribuciones que aborden, en particular, las siguientes cuestiones, incluyendo aquellas referidas a cuestiones específicas para cada contexto:</w:t>
      </w:r>
    </w:p>
    <w:p w14:paraId="2E7163B0" w14:textId="5B8DC57D" w:rsidR="00D677D7" w:rsidRPr="00B614E0" w:rsidRDefault="00B614E0" w:rsidP="00B614E0">
      <w:pPr>
        <w:pStyle w:val="Context"/>
        <w:rPr>
          <w:rFonts w:ascii="Cambria" w:hAnsi="Cambria"/>
          <w:sz w:val="22"/>
          <w:szCs w:val="22"/>
          <w:lang w:val="es-ES"/>
        </w:rPr>
      </w:pPr>
      <w:r w:rsidRPr="00B614E0">
        <w:rPr>
          <w:rFonts w:ascii="Cambria" w:hAnsi="Cambria"/>
          <w:sz w:val="22"/>
          <w:szCs w:val="22"/>
          <w:lang w:val="es-ES"/>
        </w:rPr>
        <w:t>El borrador V0 introduce un marco conceptual que ordena los componentes del ecosistema de la seguridad alimentaria y la nutrición en función de su proximidad a la esfera inmediata de toma de decisiones de las personas, desde el nivel macro hasta el individual, y describe un ciclo de toma de decisiones basado en datos de cuatro etapas para la seguridad alimentaria y la nutrición (SAN), desde el establecimiento de prioridades hasta la utilización de datos. El uso de ambos se ilustra mediante una plantilla de matriz que facilita la operacionalización simultánea del marco conceptual y del ciclo de toma de decisiones basado en datos para abordar cuestiones relevantes para la SAN.</w:t>
      </w:r>
    </w:p>
    <w:p w14:paraId="6A3016F0" w14:textId="77777777" w:rsidR="00B614E0" w:rsidRPr="00B614E0" w:rsidRDefault="00B614E0" w:rsidP="00B614E0">
      <w:pPr>
        <w:pStyle w:val="Questions"/>
        <w:spacing w:before="0"/>
        <w:rPr>
          <w:rFonts w:ascii="Cambria" w:hAnsi="Cambria"/>
          <w:lang w:val="es-ES"/>
        </w:rPr>
      </w:pPr>
      <w:r w:rsidRPr="00B614E0">
        <w:rPr>
          <w:rFonts w:ascii="Cambria" w:hAnsi="Cambria"/>
          <w:lang w:val="es-ES"/>
        </w:rPr>
        <w:t>¿Considera que el marco propuesto es un dispositivo conceptual eficaz para destacar y debatir las cuestiones clave que afectan a la recopilación de datos y al análisis para la SAN?</w:t>
      </w:r>
    </w:p>
    <w:p w14:paraId="51ECDE76" w14:textId="77777777" w:rsidR="00B614E0" w:rsidRPr="00641EF4" w:rsidRDefault="00B614E0" w:rsidP="00B614E0">
      <w:pPr>
        <w:pStyle w:val="Questions"/>
        <w:spacing w:before="0"/>
        <w:rPr>
          <w:rFonts w:ascii="Cambria" w:hAnsi="Cambria"/>
          <w:lang w:val="es-ES"/>
        </w:rPr>
      </w:pPr>
      <w:r w:rsidRPr="00641EF4">
        <w:rPr>
          <w:rFonts w:ascii="Cambria" w:hAnsi="Cambria"/>
          <w:lang w:val="es-ES"/>
        </w:rPr>
        <w:t>¿Cree que este marco conceptual puede contribuir a proporcionar una orientación práctica para la recopilación de datos para la SAN?</w:t>
      </w:r>
    </w:p>
    <w:p w14:paraId="071F3694" w14:textId="77777777" w:rsidR="00B614E0" w:rsidRPr="00641EF4" w:rsidRDefault="00B614E0" w:rsidP="00B614E0">
      <w:pPr>
        <w:pStyle w:val="Questions"/>
        <w:spacing w:before="0"/>
        <w:rPr>
          <w:rFonts w:ascii="Cambria" w:hAnsi="Cambria"/>
          <w:lang w:val="es-ES"/>
        </w:rPr>
      </w:pPr>
      <w:r w:rsidRPr="00641EF4">
        <w:rPr>
          <w:rFonts w:ascii="Cambria" w:hAnsi="Cambria"/>
          <w:lang w:val="es-ES"/>
        </w:rPr>
        <w:t>¿Cree que este ciclo de toma de decisiones basadas en datos en cuatro etapas para la SAN aborda los pasos clave del proceso de recopilación y análisis de datos para la SAN? ¿Dónde ve usted los cuellos de botella más relevantes en el ciclo de toma de decisiones basado en datos para la SAN?</w:t>
      </w:r>
    </w:p>
    <w:p w14:paraId="537D79D8" w14:textId="77777777" w:rsidR="00B614E0" w:rsidRPr="00641EF4" w:rsidRDefault="00B614E0" w:rsidP="00B614E0">
      <w:pPr>
        <w:pStyle w:val="Questions"/>
        <w:spacing w:before="0"/>
        <w:rPr>
          <w:rFonts w:ascii="Cambria" w:hAnsi="Cambria"/>
          <w:lang w:val="es-ES"/>
        </w:rPr>
      </w:pPr>
      <w:r w:rsidRPr="00641EF4">
        <w:rPr>
          <w:rFonts w:ascii="Cambria" w:hAnsi="Cambria"/>
          <w:lang w:val="es-ES"/>
        </w:rPr>
        <w:t>¿Puede ofrecer sugerencias de ejemplos que serían útiles para ilustrar en una plantilla de matriz que facilite la operacionalización del marco conceptual y el ciclo de toma de decisiones basada en datos para abordar cuestiones relevantes para la SAN?</w:t>
      </w:r>
    </w:p>
    <w:p w14:paraId="46E8010E" w14:textId="185C74F6" w:rsidR="00D677D7" w:rsidRPr="00B614E0" w:rsidRDefault="00B614E0" w:rsidP="00B614E0">
      <w:pPr>
        <w:pStyle w:val="Context"/>
        <w:rPr>
          <w:rFonts w:ascii="Cambria" w:hAnsi="Cambria"/>
          <w:sz w:val="22"/>
          <w:szCs w:val="22"/>
          <w:lang w:val="es-ES"/>
        </w:rPr>
      </w:pPr>
      <w:r w:rsidRPr="00B614E0">
        <w:rPr>
          <w:rFonts w:ascii="Cambria" w:hAnsi="Cambria"/>
          <w:sz w:val="22"/>
          <w:szCs w:val="22"/>
          <w:lang w:val="es-ES"/>
        </w:rPr>
        <w:t>El informe adopta la definición más amplia de seguridad alimentaria, propuesta por el HLPE en 2020, que incluye las dos dimensiones de arbitrio y sostenibilidad, junto a las cuatro tradicionales de disponibilidad, acceso, utilización y estabilidad</w:t>
      </w:r>
      <w:r w:rsidR="00D677D7" w:rsidRPr="00B614E0">
        <w:rPr>
          <w:rFonts w:ascii="Cambria" w:hAnsi="Cambria"/>
          <w:sz w:val="22"/>
          <w:szCs w:val="22"/>
          <w:lang w:val="es-ES"/>
        </w:rPr>
        <w:t>.</w:t>
      </w:r>
    </w:p>
    <w:p w14:paraId="7A04D620" w14:textId="77777777" w:rsidR="00B614E0" w:rsidRPr="00B614E0" w:rsidRDefault="00B614E0" w:rsidP="00B614E0">
      <w:pPr>
        <w:pStyle w:val="Questions"/>
        <w:rPr>
          <w:rFonts w:ascii="Cambria" w:hAnsi="Cambria"/>
          <w:szCs w:val="22"/>
          <w:lang w:val="es-ES"/>
        </w:rPr>
      </w:pPr>
      <w:r w:rsidRPr="00B614E0">
        <w:rPr>
          <w:rFonts w:ascii="Cambria" w:hAnsi="Cambria"/>
          <w:szCs w:val="22"/>
          <w:lang w:val="es-ES"/>
        </w:rPr>
        <w:t>¿Cubre el proyecto V0 suficientemente las implicaciones de ampliar la definición de seguridad alimentaria para la recopilación, el análisis y la utilización de datos?</w:t>
      </w:r>
    </w:p>
    <w:p w14:paraId="4F238728" w14:textId="3675A9E3" w:rsidR="00B614E0" w:rsidRPr="00641EF4" w:rsidRDefault="00B614E0" w:rsidP="00B614E0">
      <w:pPr>
        <w:pStyle w:val="Questions"/>
        <w:rPr>
          <w:rFonts w:ascii="Cambria" w:hAnsi="Cambria"/>
          <w:szCs w:val="22"/>
          <w:lang w:val="es-ES"/>
        </w:rPr>
      </w:pPr>
      <w:r w:rsidRPr="00B614E0">
        <w:rPr>
          <w:rFonts w:ascii="Cambria" w:hAnsi="Cambria"/>
          <w:szCs w:val="22"/>
          <w:lang w:val="es-ES"/>
        </w:rPr>
        <w:lastRenderedPageBreak/>
        <w:t xml:space="preserve">¿Qué tipo de datos serán más útiles para medir dimensiones de la seguridad alimentaria como el “arbitrio” y la “sostenibilidad”? </w:t>
      </w:r>
    </w:p>
    <w:p w14:paraId="5B033AD6" w14:textId="7DFE1FB2" w:rsidR="00B614E0" w:rsidRDefault="00B614E0" w:rsidP="00B614E0">
      <w:pPr>
        <w:pStyle w:val="Context"/>
        <w:numPr>
          <w:ilvl w:val="0"/>
          <w:numId w:val="11"/>
        </w:numPr>
        <w:rPr>
          <w:rFonts w:ascii="Cambria" w:hAnsi="Cambria"/>
          <w:sz w:val="22"/>
          <w:szCs w:val="22"/>
          <w:lang w:val="es-ES"/>
        </w:rPr>
      </w:pPr>
      <w:r w:rsidRPr="00B614E0">
        <w:rPr>
          <w:rFonts w:ascii="Cambria" w:hAnsi="Cambria"/>
          <w:sz w:val="22"/>
          <w:szCs w:val="22"/>
          <w:lang w:val="es-ES"/>
        </w:rPr>
        <w:t>El borrador V0 revisa las herramientas de recopilación y análisis de datos, las iniciativas y las tendencias existentes en materia de seguridad alimentaria.</w:t>
      </w:r>
    </w:p>
    <w:p w14:paraId="033B61EE" w14:textId="77777777" w:rsidR="00B614E0" w:rsidRPr="00B614E0" w:rsidRDefault="00B614E0" w:rsidP="00B614E0">
      <w:pPr>
        <w:pStyle w:val="Questions"/>
        <w:shd w:val="clear" w:color="auto" w:fill="FFFFFF"/>
        <w:spacing w:before="100" w:beforeAutospacing="1" w:after="90"/>
        <w:jc w:val="left"/>
        <w:rPr>
          <w:rFonts w:ascii="Cambria" w:hAnsi="Cambria" w:cs="Open Sans"/>
          <w:color w:val="auto"/>
          <w:szCs w:val="22"/>
          <w:lang w:val="es-ES"/>
        </w:rPr>
      </w:pPr>
      <w:r w:rsidRPr="00B614E0">
        <w:rPr>
          <w:rFonts w:ascii="Cambria" w:hAnsi="Cambria" w:cs="Open Sans"/>
          <w:color w:val="auto"/>
          <w:szCs w:val="22"/>
          <w:lang w:val="es-ES"/>
        </w:rPr>
        <w:t>¿Cree que la revisión cubre adecuadamente las existentes? Si no es así, ¿qué añadiría?</w:t>
      </w:r>
    </w:p>
    <w:p w14:paraId="1828904D" w14:textId="77777777" w:rsidR="00B614E0" w:rsidRPr="00B614E0" w:rsidRDefault="00B614E0" w:rsidP="00B614E0">
      <w:pPr>
        <w:pStyle w:val="Questions"/>
        <w:shd w:val="clear" w:color="auto" w:fill="FFFFFF"/>
        <w:spacing w:before="100" w:beforeAutospacing="1" w:after="90"/>
        <w:jc w:val="left"/>
        <w:rPr>
          <w:rFonts w:ascii="Cambria" w:hAnsi="Cambria" w:cs="Open Sans"/>
          <w:color w:val="auto"/>
          <w:szCs w:val="22"/>
          <w:lang w:val="es-ES"/>
        </w:rPr>
      </w:pPr>
      <w:r w:rsidRPr="00B614E0">
        <w:rPr>
          <w:rFonts w:ascii="Cambria" w:hAnsi="Cambria" w:cs="Open Sans"/>
          <w:color w:val="auto"/>
          <w:szCs w:val="22"/>
          <w:lang w:val="es-ES"/>
        </w:rPr>
        <w:t>¿Considera que las tendencias identificadas son realmente las principales que afectan a la generación, el análisis y la utilización de datos para la SAN? Si no es así, ¿qué otras tendencias deberían tenerse en cuenta?</w:t>
      </w:r>
    </w:p>
    <w:p w14:paraId="67348D39" w14:textId="77777777" w:rsidR="00B614E0" w:rsidRPr="00B614E0" w:rsidRDefault="00B614E0" w:rsidP="00B614E0">
      <w:pPr>
        <w:pStyle w:val="Questions"/>
        <w:shd w:val="clear" w:color="auto" w:fill="FFFFFF"/>
        <w:spacing w:before="100" w:beforeAutospacing="1" w:after="90"/>
        <w:jc w:val="left"/>
        <w:rPr>
          <w:rFonts w:ascii="Cambria" w:hAnsi="Cambria" w:cs="Open Sans"/>
          <w:color w:val="auto"/>
          <w:szCs w:val="22"/>
        </w:rPr>
      </w:pPr>
      <w:r w:rsidRPr="00B614E0">
        <w:rPr>
          <w:rFonts w:ascii="Cambria" w:hAnsi="Cambria" w:cs="Open Sans"/>
          <w:color w:val="auto"/>
          <w:szCs w:val="22"/>
          <w:lang w:val="es-ES"/>
        </w:rPr>
        <w:t xml:space="preserve">En particular, ¿puede ofrecer su opinión sobre cómo afectan a la seguridad alimentaria la tecnología digital, el Internet de las cosas, la inteligencia artificial, los macrodatos y la agricultura 4.0? </w:t>
      </w:r>
      <w:r w:rsidRPr="00B614E0">
        <w:rPr>
          <w:rFonts w:ascii="Cambria" w:hAnsi="Cambria" w:cs="Open Sans"/>
          <w:color w:val="auto"/>
          <w:szCs w:val="22"/>
        </w:rPr>
        <w:t>¿Cuál es su impacto probable en las próximas décadas?</w:t>
      </w:r>
    </w:p>
    <w:p w14:paraId="1912E561" w14:textId="54DAA1FB" w:rsidR="00B614E0" w:rsidRDefault="00B614E0" w:rsidP="00B614E0">
      <w:pPr>
        <w:pStyle w:val="Context"/>
        <w:numPr>
          <w:ilvl w:val="0"/>
          <w:numId w:val="11"/>
        </w:numPr>
        <w:rPr>
          <w:rFonts w:ascii="Cambria" w:hAnsi="Cambria"/>
          <w:sz w:val="22"/>
          <w:szCs w:val="22"/>
          <w:lang w:val="es-ES"/>
        </w:rPr>
      </w:pPr>
      <w:r w:rsidRPr="00B614E0">
        <w:rPr>
          <w:rFonts w:ascii="Cambria" w:hAnsi="Cambria"/>
          <w:sz w:val="22"/>
          <w:szCs w:val="22"/>
          <w:lang w:val="es-ES"/>
        </w:rPr>
        <w:t>El informe analiza las limitaciones de capacidad a nivel local, nacional y mundial, con especial atención a la capacidad estadística y analítica.</w:t>
      </w:r>
    </w:p>
    <w:p w14:paraId="701DCDCF" w14:textId="77777777" w:rsidR="00B614E0" w:rsidRPr="00B614E0" w:rsidRDefault="00B614E0" w:rsidP="00B614E0">
      <w:pPr>
        <w:pStyle w:val="Questions"/>
        <w:shd w:val="clear" w:color="auto" w:fill="FFFFFF"/>
        <w:spacing w:before="100" w:beforeAutospacing="1" w:after="90"/>
        <w:jc w:val="left"/>
        <w:rPr>
          <w:rFonts w:ascii="Cambria" w:hAnsi="Cambria" w:cs="Open Sans"/>
          <w:color w:val="auto"/>
          <w:szCs w:val="22"/>
          <w:lang w:val="es-ES"/>
        </w:rPr>
      </w:pPr>
      <w:r w:rsidRPr="00B614E0">
        <w:rPr>
          <w:rFonts w:ascii="Cambria" w:hAnsi="Cambria" w:cs="Open Sans"/>
          <w:color w:val="auto"/>
          <w:szCs w:val="22"/>
          <w:lang w:val="es-ES"/>
        </w:rPr>
        <w:t>¿Considera que el borrador V0 cubre todas las cuestiones -y sus consecuencias- de las limitaciones de capacidad en los diferentes niveles?</w:t>
      </w:r>
    </w:p>
    <w:p w14:paraId="56B9ED19" w14:textId="3CA685B7" w:rsidR="00B614E0" w:rsidRDefault="00B614E0" w:rsidP="00B614E0">
      <w:pPr>
        <w:pStyle w:val="Questions"/>
        <w:shd w:val="clear" w:color="auto" w:fill="FFFFFF"/>
        <w:spacing w:before="100" w:beforeAutospacing="1" w:after="90"/>
        <w:jc w:val="left"/>
        <w:rPr>
          <w:rFonts w:ascii="Cambria" w:hAnsi="Cambria" w:cs="Open Sans"/>
          <w:color w:val="auto"/>
          <w:szCs w:val="22"/>
          <w:lang w:val="es-ES"/>
        </w:rPr>
      </w:pPr>
      <w:r w:rsidRPr="00B614E0">
        <w:rPr>
          <w:rFonts w:ascii="Cambria" w:hAnsi="Cambria" w:cs="Open Sans"/>
          <w:color w:val="auto"/>
          <w:szCs w:val="22"/>
          <w:lang w:val="es-ES"/>
        </w:rPr>
        <w:t>Si su respuesta a. es “no”, ¿qué cuestiones adicionales relativas a las limitaciones de capacidad deberían añadirse al análisis?</w:t>
      </w:r>
    </w:p>
    <w:p w14:paraId="198F0816" w14:textId="2E9AEC9F" w:rsidR="00B614E0" w:rsidRPr="00B614E0" w:rsidRDefault="00B614E0" w:rsidP="00B614E0">
      <w:pPr>
        <w:pStyle w:val="Context"/>
        <w:rPr>
          <w:rFonts w:ascii="Cambria" w:hAnsi="Cambria"/>
          <w:sz w:val="22"/>
          <w:szCs w:val="22"/>
          <w:lang w:val="es-ES"/>
        </w:rPr>
      </w:pPr>
      <w:r w:rsidRPr="00B614E0">
        <w:rPr>
          <w:rFonts w:ascii="Cambria" w:hAnsi="Cambria"/>
          <w:sz w:val="22"/>
          <w:szCs w:val="22"/>
          <w:lang w:val="es-ES"/>
        </w:rPr>
        <w:t>El borrador V0 analiza el papel de las tecnologías nuevas y emergentes en la recopilación de datos y las herramientas de análisis para la SAN.</w:t>
      </w:r>
    </w:p>
    <w:p w14:paraId="1F35E05A" w14:textId="77777777" w:rsidR="00B614E0" w:rsidRPr="00641EF4" w:rsidRDefault="00B614E0" w:rsidP="00B614E0">
      <w:pPr>
        <w:pStyle w:val="Questions"/>
        <w:rPr>
          <w:rFonts w:ascii="Cambria" w:hAnsi="Cambria"/>
          <w:lang w:val="es-ES"/>
        </w:rPr>
      </w:pPr>
      <w:r w:rsidRPr="00641EF4">
        <w:rPr>
          <w:rFonts w:ascii="Cambria" w:hAnsi="Cambria"/>
          <w:lang w:val="es-ES"/>
        </w:rPr>
        <w:t>¿Cree que la presentación de las tecnologías nuevas y emergentes capta las principales tendencias? ¿Qué otras tecnologías nuevas y emergentes podrían tratarse en el informe?</w:t>
      </w:r>
    </w:p>
    <w:p w14:paraId="70ECA48D" w14:textId="77777777" w:rsidR="00B614E0" w:rsidRPr="00641EF4" w:rsidRDefault="00B614E0" w:rsidP="00B614E0">
      <w:pPr>
        <w:pStyle w:val="Questions"/>
        <w:rPr>
          <w:rFonts w:ascii="Cambria" w:hAnsi="Cambria"/>
          <w:lang w:val="es-ES"/>
        </w:rPr>
      </w:pPr>
      <w:r w:rsidRPr="00641EF4">
        <w:rPr>
          <w:rFonts w:ascii="Cambria" w:hAnsi="Cambria"/>
          <w:lang w:val="es-ES"/>
        </w:rPr>
        <w:t>¿De qué otras maneras pueden las tecnologías nuevas y emergentes ser relevantes para cada una de las etapas/aspectos de la cadena de valor de los datos de la SAN/ciclo de vida de los datos (es decir, definir las prioridades y las preguntas de las pruebas; revisar, consolidar, recopilar, conservar y analizar los datos; traducir y difundir los resultados y las conclusiones; comprometerse y utilizar los resultados y las conclusiones para tomar decisiones)?</w:t>
      </w:r>
    </w:p>
    <w:p w14:paraId="4171967B" w14:textId="77777777" w:rsidR="00B614E0" w:rsidRPr="00641EF4" w:rsidRDefault="00B614E0" w:rsidP="00B614E0">
      <w:pPr>
        <w:pStyle w:val="Questions"/>
        <w:rPr>
          <w:rFonts w:ascii="Cambria" w:hAnsi="Cambria"/>
          <w:lang w:val="es-ES"/>
        </w:rPr>
      </w:pPr>
      <w:r w:rsidRPr="00641EF4">
        <w:rPr>
          <w:rFonts w:ascii="Cambria" w:hAnsi="Cambria"/>
          <w:lang w:val="es-ES"/>
        </w:rPr>
        <w:t>¿De qué otras formas pueden las tecnologías nuevas y emergentes ser relevantes para cada una de las dimensiones de la SAN (es decir, disponibilidad, acceso, utilización, estabilidad, arbitrio y sostenibilidad)?</w:t>
      </w:r>
    </w:p>
    <w:p w14:paraId="2115B5A9" w14:textId="3AA78D41" w:rsidR="00B614E0" w:rsidRPr="00641EF4" w:rsidRDefault="00B614E0" w:rsidP="00B614E0">
      <w:pPr>
        <w:pStyle w:val="Questions"/>
        <w:rPr>
          <w:rFonts w:ascii="Cambria" w:hAnsi="Cambria"/>
          <w:lang w:val="es-ES"/>
        </w:rPr>
      </w:pPr>
      <w:r w:rsidRPr="00641EF4">
        <w:rPr>
          <w:rFonts w:ascii="Cambria" w:hAnsi="Cambria"/>
          <w:lang w:val="es-ES"/>
        </w:rPr>
        <w:t>¿Cuáles son algunas de las cuestiones relacionadas con el uso ético de los datos, el acceso, el arbitrio y la propiedad vinculadas a estas tecnologías nuevas y emergentes que deberían debatirse más a fondo en el informe?</w:t>
      </w:r>
    </w:p>
    <w:p w14:paraId="1EAE45F4" w14:textId="786598F7" w:rsidR="00B614E0" w:rsidRPr="00B614E0" w:rsidRDefault="00B614E0" w:rsidP="00B614E0">
      <w:pPr>
        <w:pStyle w:val="Context"/>
        <w:numPr>
          <w:ilvl w:val="0"/>
          <w:numId w:val="11"/>
        </w:numPr>
        <w:rPr>
          <w:rFonts w:ascii="Cambria" w:hAnsi="Cambria"/>
          <w:sz w:val="22"/>
          <w:szCs w:val="22"/>
          <w:lang w:val="es-ES"/>
        </w:rPr>
      </w:pPr>
      <w:r w:rsidRPr="00B614E0">
        <w:rPr>
          <w:rFonts w:ascii="Cambria" w:hAnsi="Cambria"/>
          <w:sz w:val="22"/>
          <w:szCs w:val="22"/>
          <w:lang w:val="es-ES"/>
        </w:rPr>
        <w:t>El informe examina las cuestiones relativas a las instituciones y la gobernanza para la recopilación, el análisis y la utilización de los datos, centrándose en los principios de gobernanza de los datos, la protección de los datos, la transparencia y la gobernanza de las estadísticas oficiales, las implicaciones para la gobernanza de un mundo cada vez más digitalizado, y ejemplos de iniciativas que abordan los desafíos de la gobernanza.</w:t>
      </w:r>
    </w:p>
    <w:p w14:paraId="1EBE60A8" w14:textId="77777777" w:rsidR="00B614E0" w:rsidRPr="00B614E0" w:rsidRDefault="00B614E0" w:rsidP="00B614E0">
      <w:pPr>
        <w:pStyle w:val="Questions"/>
        <w:rPr>
          <w:rFonts w:ascii="Cambria" w:hAnsi="Cambria"/>
          <w:lang w:val="es-ES"/>
        </w:rPr>
      </w:pPr>
      <w:r w:rsidRPr="00B614E0">
        <w:rPr>
          <w:rFonts w:ascii="Cambria" w:hAnsi="Cambria"/>
          <w:lang w:val="es-ES"/>
        </w:rPr>
        <w:t>¿Hay alguna cuestión relativa a la gobernanza de los datos para la SAN que no se haya tratado suficientemente en el borrador del informe?</w:t>
      </w:r>
    </w:p>
    <w:p w14:paraId="088EDDA8" w14:textId="77777777" w:rsidR="00B614E0" w:rsidRPr="00B614E0" w:rsidRDefault="00B614E0" w:rsidP="00B614E0">
      <w:pPr>
        <w:pStyle w:val="Questions"/>
        <w:rPr>
          <w:rFonts w:ascii="Cambria" w:hAnsi="Cambria"/>
          <w:lang w:val="es-ES"/>
        </w:rPr>
      </w:pPr>
      <w:r w:rsidRPr="00B614E0">
        <w:rPr>
          <w:rFonts w:ascii="Cambria" w:hAnsi="Cambria"/>
          <w:lang w:val="es-ES"/>
        </w:rPr>
        <w:lastRenderedPageBreak/>
        <w:t>¿Cuáles son algunos de los riesgos inherentes a las tecnologías basadas en datos para la SAN? ¿Cómo se pueden mitigar estos riesgos? ¿Cuáles son algunas de las cuestiones relacionadas con la privacidad, el acceso y el control de los datos que deberían considerarse con atención?</w:t>
      </w:r>
    </w:p>
    <w:p w14:paraId="6BDA3A97" w14:textId="77777777" w:rsidR="00B614E0" w:rsidRPr="00B614E0" w:rsidRDefault="00B614E0" w:rsidP="00B614E0">
      <w:pPr>
        <w:pStyle w:val="Questions"/>
        <w:rPr>
          <w:rFonts w:ascii="Cambria" w:hAnsi="Cambria"/>
          <w:lang w:val="es-ES"/>
        </w:rPr>
      </w:pPr>
      <w:r w:rsidRPr="00B614E0">
        <w:rPr>
          <w:rFonts w:ascii="Cambria" w:hAnsi="Cambria"/>
          <w:lang w:val="es-ES"/>
        </w:rPr>
        <w:t>¿Cuáles son los requisitos mínimos de un sistema de datos de la SAN eficiente y cómo deben priorizarse?</w:t>
      </w:r>
    </w:p>
    <w:p w14:paraId="2E06946A" w14:textId="77777777" w:rsidR="00B614E0" w:rsidRPr="00B614E0" w:rsidRDefault="00B614E0" w:rsidP="00B614E0">
      <w:pPr>
        <w:pStyle w:val="Questions"/>
        <w:rPr>
          <w:rFonts w:ascii="Cambria" w:hAnsi="Cambria"/>
          <w:lang w:val="es-ES"/>
        </w:rPr>
      </w:pPr>
      <w:r w:rsidRPr="00B614E0">
        <w:rPr>
          <w:rFonts w:ascii="Cambria" w:hAnsi="Cambria"/>
          <w:lang w:val="es-ES"/>
        </w:rPr>
        <w:t>¿Qué mecanismo u organización debería garantizar la buena gobernanza de los datos y los sistemas de información para la SAN? ¿Cómo regular y mitigar los posibles conflictos entre la propiedad pública y privada de los datos?</w:t>
      </w:r>
    </w:p>
    <w:p w14:paraId="4013D8F5" w14:textId="3133A9BB" w:rsidR="00B614E0" w:rsidRDefault="00B614E0" w:rsidP="00B614E0">
      <w:pPr>
        <w:pStyle w:val="Questions"/>
        <w:rPr>
          <w:rFonts w:ascii="Cambria" w:hAnsi="Cambria"/>
          <w:lang w:val="es-ES"/>
        </w:rPr>
      </w:pPr>
      <w:r w:rsidRPr="00B614E0">
        <w:rPr>
          <w:rFonts w:ascii="Cambria" w:hAnsi="Cambria"/>
          <w:lang w:val="es-ES"/>
        </w:rPr>
        <w:t>¿Cuáles son las necesidades de financiación y los mecanismos e instrumentos financieros que deberían establecerse para que todos los países puedan recopilar, analizar y utilizar los datos de la SAN?</w:t>
      </w:r>
    </w:p>
    <w:p w14:paraId="2F71468C" w14:textId="77777777" w:rsidR="00B614E0" w:rsidRPr="00B614E0" w:rsidRDefault="00B614E0" w:rsidP="00B614E0">
      <w:pPr>
        <w:pStyle w:val="Context"/>
        <w:numPr>
          <w:ilvl w:val="0"/>
          <w:numId w:val="11"/>
        </w:numPr>
        <w:rPr>
          <w:rFonts w:ascii="Cambria" w:hAnsi="Cambria"/>
          <w:sz w:val="22"/>
          <w:szCs w:val="22"/>
          <w:lang w:val="es-ES"/>
        </w:rPr>
      </w:pPr>
      <w:r w:rsidRPr="00B614E0">
        <w:rPr>
          <w:rFonts w:ascii="Cambria" w:hAnsi="Cambria"/>
          <w:sz w:val="22"/>
          <w:szCs w:val="22"/>
          <w:lang w:val="es-ES"/>
        </w:rPr>
        <w:t>Basándose en los informes del HLPE y en el análisis de la bibliografía más amplia, en el próximo borrador del informe se esbozarán ejemplos de posibles vías para las políticas con el fin de abordar los retos de la recopilación de datos y las herramientas de análisis para la SAN.</w:t>
      </w:r>
    </w:p>
    <w:p w14:paraId="27AC40AD" w14:textId="77777777" w:rsidR="00B614E0" w:rsidRPr="00B614E0" w:rsidRDefault="00B614E0" w:rsidP="00B614E0">
      <w:pPr>
        <w:pStyle w:val="Questions"/>
        <w:rPr>
          <w:rFonts w:ascii="Cambria" w:hAnsi="Cambria"/>
          <w:lang w:val="es-ES"/>
        </w:rPr>
      </w:pPr>
      <w:r w:rsidRPr="00B614E0">
        <w:rPr>
          <w:rFonts w:ascii="Cambria" w:hAnsi="Cambria"/>
          <w:lang w:val="es-ES"/>
        </w:rPr>
        <w:t>¿Qué datos necesitan la comunidad global y las organizaciones internacionales para tener una visión adecuada del estado actual de la seguridad alimentaria mundial y para acordar y diseñar una acción internacional para mejorarla?</w:t>
      </w:r>
    </w:p>
    <w:p w14:paraId="163A0232" w14:textId="77777777" w:rsidR="00B614E0" w:rsidRPr="00B614E0" w:rsidRDefault="00B614E0" w:rsidP="00B614E0">
      <w:pPr>
        <w:pStyle w:val="Questions"/>
        <w:rPr>
          <w:rFonts w:ascii="Cambria" w:hAnsi="Cambria"/>
          <w:lang w:val="es-ES"/>
        </w:rPr>
      </w:pPr>
      <w:r w:rsidRPr="00B614E0">
        <w:rPr>
          <w:rFonts w:ascii="Cambria" w:hAnsi="Cambria"/>
          <w:lang w:val="es-ES"/>
        </w:rPr>
        <w:t>¿Qué datos necesitan los países para tomar decisiones más eficaces en materia de seguridad alimentaria y nutrición y para fundamentar las políticas para la transformación de los sistemas alimentarios?</w:t>
      </w:r>
    </w:p>
    <w:p w14:paraId="260330EB" w14:textId="421E2B3B" w:rsidR="00B614E0" w:rsidRDefault="00B614E0" w:rsidP="00B614E0">
      <w:pPr>
        <w:pStyle w:val="Questions"/>
        <w:rPr>
          <w:rFonts w:ascii="Cambria" w:hAnsi="Cambria"/>
          <w:lang w:val="es-ES"/>
        </w:rPr>
      </w:pPr>
      <w:r w:rsidRPr="00B614E0">
        <w:rPr>
          <w:rFonts w:ascii="Cambria" w:hAnsi="Cambria"/>
          <w:lang w:val="es-ES"/>
        </w:rPr>
        <w:t>Le rogamos sugiera referencias a casos que ilustren las políticas e iniciativas destinadas a:</w:t>
      </w:r>
    </w:p>
    <w:p w14:paraId="6A6B3BEE" w14:textId="3BE1F39A" w:rsidR="00B614E0" w:rsidRPr="006F47E0" w:rsidRDefault="00B614E0" w:rsidP="006F47E0">
      <w:pPr>
        <w:pStyle w:val="Boulettespr-numration"/>
        <w:numPr>
          <w:ilvl w:val="0"/>
          <w:numId w:val="43"/>
        </w:numPr>
        <w:ind w:left="1620" w:hanging="180"/>
        <w:rPr>
          <w:rFonts w:ascii="Cambria" w:hAnsi="Cambria"/>
          <w:lang w:val="es-ES"/>
        </w:rPr>
      </w:pPr>
      <w:r w:rsidRPr="006F47E0">
        <w:rPr>
          <w:rFonts w:ascii="Cambria" w:hAnsi="Cambria"/>
          <w:lang w:val="es-ES"/>
        </w:rPr>
        <w:t>mejorar la equidad en el acceso a los datos para las políticas y decisiones en materia de seguridad alimentaria, incluso a nivel comunitario y local;</w:t>
      </w:r>
    </w:p>
    <w:p w14:paraId="2EE6FA6B" w14:textId="77777777" w:rsidR="00B614E0" w:rsidRPr="006F47E0" w:rsidRDefault="00B614E0" w:rsidP="006F47E0">
      <w:pPr>
        <w:pStyle w:val="Boulettespr-numration"/>
        <w:numPr>
          <w:ilvl w:val="0"/>
          <w:numId w:val="43"/>
        </w:numPr>
        <w:ind w:left="1620" w:hanging="180"/>
        <w:rPr>
          <w:rFonts w:ascii="Cambria" w:hAnsi="Cambria"/>
          <w:lang w:val="es-ES"/>
        </w:rPr>
      </w:pPr>
      <w:r w:rsidRPr="006F47E0">
        <w:rPr>
          <w:rFonts w:ascii="Cambria" w:hAnsi="Cambria"/>
          <w:lang w:val="es-ES"/>
        </w:rPr>
        <w:t>superar las limitaciones de capacidad con respecto a la generación, acceso, análisis y uso de los datos por parte de los diferentes actores;</w:t>
      </w:r>
    </w:p>
    <w:p w14:paraId="1A6D47BC" w14:textId="6E21B65B" w:rsidR="00B614E0" w:rsidRPr="006F47E0" w:rsidRDefault="00B614E0" w:rsidP="006F47E0">
      <w:pPr>
        <w:pStyle w:val="Boulettespr-numration"/>
        <w:numPr>
          <w:ilvl w:val="0"/>
          <w:numId w:val="43"/>
        </w:numPr>
        <w:ind w:left="1620" w:hanging="180"/>
        <w:rPr>
          <w:rFonts w:ascii="Cambria" w:hAnsi="Cambria"/>
          <w:lang w:val="es-ES"/>
        </w:rPr>
      </w:pPr>
      <w:r w:rsidRPr="006F47E0">
        <w:rPr>
          <w:rFonts w:ascii="Cambria" w:hAnsi="Cambria"/>
          <w:lang w:val="es-ES"/>
        </w:rPr>
        <w:t>aprovechar de forma específica los conocimientos tradicionales e indígenas/de las primeras naciones.</w:t>
      </w:r>
    </w:p>
    <w:p w14:paraId="69F76742" w14:textId="77777777" w:rsidR="006F47E0" w:rsidRPr="006F47E0" w:rsidRDefault="006F47E0" w:rsidP="006F47E0">
      <w:pPr>
        <w:pStyle w:val="Questions"/>
        <w:rPr>
          <w:rFonts w:ascii="Cambria" w:hAnsi="Cambria"/>
          <w:lang w:val="es-ES"/>
        </w:rPr>
      </w:pPr>
      <w:r w:rsidRPr="006F47E0">
        <w:rPr>
          <w:rFonts w:ascii="Cambria" w:hAnsi="Cambria"/>
          <w:lang w:val="es-ES"/>
        </w:rPr>
        <w:t>Proporcione referencias y ejemplos de éxito: datos adecuados que conduzcan a políticas adecuadas (según el contexto), o cualquier lección que deba aprenderse de un intento fallido de recopilación/utilización de datos.</w:t>
      </w:r>
    </w:p>
    <w:p w14:paraId="1E6DB461" w14:textId="1B0E99CB" w:rsidR="00B614E0" w:rsidRDefault="006F47E0" w:rsidP="006F47E0">
      <w:pPr>
        <w:pStyle w:val="Questions"/>
        <w:rPr>
          <w:rFonts w:ascii="Cambria" w:hAnsi="Cambria"/>
          <w:lang w:val="es-ES"/>
        </w:rPr>
      </w:pPr>
      <w:r w:rsidRPr="006F47E0">
        <w:rPr>
          <w:rFonts w:ascii="Cambria" w:hAnsi="Cambria"/>
          <w:lang w:val="es-ES"/>
        </w:rPr>
        <w:t>Por favor, sugiera también cualquier iniciativa y buena práctica destinada a abordar:</w:t>
      </w:r>
    </w:p>
    <w:p w14:paraId="0BFA9311" w14:textId="77777777" w:rsidR="006F47E0" w:rsidRPr="006F47E0" w:rsidRDefault="006F47E0" w:rsidP="006F47E0">
      <w:pPr>
        <w:pStyle w:val="Boulettespr-numration"/>
        <w:numPr>
          <w:ilvl w:val="0"/>
          <w:numId w:val="43"/>
        </w:numPr>
        <w:ind w:left="1620" w:hanging="180"/>
        <w:rPr>
          <w:rFonts w:ascii="Cambria" w:hAnsi="Cambria"/>
          <w:lang w:val="es-ES"/>
        </w:rPr>
      </w:pPr>
      <w:r w:rsidRPr="006F47E0">
        <w:rPr>
          <w:rFonts w:ascii="Cambria" w:hAnsi="Cambria"/>
          <w:lang w:val="es-ES"/>
        </w:rPr>
        <w:t>las limitaciones específicas para generar un conjunto mínimo de indicadores en zonas afectadas por conflictos y catástrofes;</w:t>
      </w:r>
    </w:p>
    <w:p w14:paraId="26E8AAC6" w14:textId="77777777" w:rsidR="006F47E0" w:rsidRPr="006F47E0" w:rsidRDefault="006F47E0" w:rsidP="006F47E0">
      <w:pPr>
        <w:pStyle w:val="Boulettespr-numration"/>
        <w:numPr>
          <w:ilvl w:val="0"/>
          <w:numId w:val="43"/>
        </w:numPr>
        <w:ind w:left="1620" w:hanging="180"/>
        <w:rPr>
          <w:rFonts w:ascii="Cambria" w:hAnsi="Cambria"/>
          <w:lang w:val="es-ES"/>
        </w:rPr>
      </w:pPr>
      <w:r w:rsidRPr="006F47E0">
        <w:rPr>
          <w:rFonts w:ascii="Cambria" w:hAnsi="Cambria"/>
          <w:lang w:val="es-ES"/>
        </w:rPr>
        <w:t>las carencias de capacidad de las instituciones locales y de las organizaciones de agricultores, productores y trabajadores para generar, compartir y analizar datos de calidad, así como para utilizar los datos para fundamentar la toma de decisiones en los sistemas alimentarios;</w:t>
      </w:r>
    </w:p>
    <w:p w14:paraId="69C3B158" w14:textId="2D4AAEF4" w:rsidR="00C553D2" w:rsidRPr="006F47E0" w:rsidRDefault="006F47E0" w:rsidP="009A0B56">
      <w:pPr>
        <w:pStyle w:val="Boulettespr-numration"/>
        <w:numPr>
          <w:ilvl w:val="0"/>
          <w:numId w:val="43"/>
        </w:numPr>
        <w:ind w:left="1620" w:hanging="180"/>
        <w:rPr>
          <w:rFonts w:ascii="Cambria" w:hAnsi="Cambria" w:cstheme="minorBidi"/>
          <w:lang w:val="es-ES"/>
        </w:rPr>
      </w:pPr>
      <w:r w:rsidRPr="006F47E0">
        <w:rPr>
          <w:rFonts w:ascii="Cambria" w:hAnsi="Cambria"/>
          <w:lang w:val="es-ES"/>
        </w:rPr>
        <w:t>las lagunas de capacidad a nivel nacional para generar y utilizar datos en los procesos de elaboración de políticas, el seguimiento y la presentación de informes relacionados con el ODS2, incluso con respecto a los recursos financieros, los recursos humanos, la gestión de datos, la legislación y el entorno propicio y la gobernanza de la SAN.</w:t>
      </w:r>
    </w:p>
    <w:p w14:paraId="25268608" w14:textId="2D12D067" w:rsidR="006F47E0" w:rsidRDefault="006F47E0" w:rsidP="006F47E0">
      <w:pPr>
        <w:pStyle w:val="Boulettespr-numration"/>
        <w:rPr>
          <w:rFonts w:ascii="Cambria" w:hAnsi="Cambria"/>
          <w:lang w:val="es-ES"/>
        </w:rPr>
      </w:pPr>
    </w:p>
    <w:p w14:paraId="45D1DDAD" w14:textId="77777777" w:rsidR="006F47E0" w:rsidRPr="006F47E0" w:rsidRDefault="006F47E0" w:rsidP="006F47E0">
      <w:pPr>
        <w:pStyle w:val="Boulettespr-numration"/>
        <w:rPr>
          <w:rFonts w:ascii="Cambria" w:hAnsi="Cambria" w:cstheme="minorBidi"/>
          <w:lang w:val="es-ES"/>
        </w:rPr>
      </w:pPr>
    </w:p>
    <w:p w14:paraId="2FDD026C" w14:textId="74C4A448" w:rsidR="006F47E0" w:rsidRDefault="006F47E0" w:rsidP="006F47E0">
      <w:pPr>
        <w:numPr>
          <w:ilvl w:val="0"/>
          <w:numId w:val="40"/>
        </w:numPr>
        <w:shd w:val="clear" w:color="auto" w:fill="FFFFFF"/>
        <w:spacing w:before="100" w:beforeAutospacing="1" w:after="90"/>
        <w:ind w:left="330" w:firstLine="750"/>
        <w:jc w:val="left"/>
        <w:rPr>
          <w:rFonts w:eastAsia="SimSun" w:cstheme="minorHAnsi"/>
          <w:color w:val="000000" w:themeColor="text1"/>
          <w:szCs w:val="24"/>
          <w:lang w:val="es-ES" w:eastAsia="en-GB"/>
        </w:rPr>
      </w:pPr>
      <w:r w:rsidRPr="006F47E0">
        <w:rPr>
          <w:rFonts w:eastAsia="SimSun" w:cstheme="minorHAnsi"/>
          <w:color w:val="000000" w:themeColor="text1"/>
          <w:szCs w:val="24"/>
          <w:lang w:val="es-ES" w:eastAsia="en-GB"/>
        </w:rPr>
        <w:lastRenderedPageBreak/>
        <w:t>Por favor, proporcione también cualquier referencia adicional con respecto a:</w:t>
      </w:r>
    </w:p>
    <w:p w14:paraId="4FDBF500" w14:textId="77777777" w:rsidR="006F47E0" w:rsidRPr="006F47E0" w:rsidRDefault="006F47E0" w:rsidP="006F47E0">
      <w:pPr>
        <w:pStyle w:val="Boulettespr-numration"/>
        <w:numPr>
          <w:ilvl w:val="0"/>
          <w:numId w:val="43"/>
        </w:numPr>
        <w:ind w:left="1620" w:hanging="180"/>
        <w:rPr>
          <w:rFonts w:ascii="Cambria" w:hAnsi="Cambria"/>
          <w:lang w:val="es-ES"/>
        </w:rPr>
      </w:pPr>
      <w:r w:rsidRPr="006F47E0">
        <w:rPr>
          <w:rFonts w:ascii="Cambria" w:hAnsi="Cambria"/>
          <w:lang w:val="es-ES"/>
        </w:rPr>
        <w:t>requisitos mínimos de datos (punto de partida) para la SAN a nivel nacional;</w:t>
      </w:r>
    </w:p>
    <w:p w14:paraId="4452E58E" w14:textId="77777777" w:rsidR="006F47E0" w:rsidRPr="006F47E0" w:rsidRDefault="006F47E0" w:rsidP="006F47E0">
      <w:pPr>
        <w:pStyle w:val="Boulettespr-numration"/>
        <w:numPr>
          <w:ilvl w:val="0"/>
          <w:numId w:val="43"/>
        </w:numPr>
        <w:ind w:left="1620" w:hanging="180"/>
        <w:rPr>
          <w:rFonts w:ascii="Cambria" w:hAnsi="Cambria"/>
          <w:lang w:val="es-ES"/>
        </w:rPr>
      </w:pPr>
      <w:r w:rsidRPr="006F47E0">
        <w:rPr>
          <w:rFonts w:ascii="Cambria" w:hAnsi="Cambria"/>
          <w:lang w:val="es-ES"/>
        </w:rPr>
        <w:t>datos cualitativos;</w:t>
      </w:r>
    </w:p>
    <w:p w14:paraId="36DF616E" w14:textId="77BDB782" w:rsidR="006F47E0" w:rsidRDefault="006F47E0" w:rsidP="006F47E0">
      <w:pPr>
        <w:pStyle w:val="Boulettespr-numration"/>
        <w:numPr>
          <w:ilvl w:val="0"/>
          <w:numId w:val="43"/>
        </w:numPr>
        <w:ind w:left="1620" w:hanging="180"/>
        <w:rPr>
          <w:rFonts w:ascii="Cambria" w:hAnsi="Cambria"/>
          <w:lang w:val="es-ES"/>
        </w:rPr>
      </w:pPr>
      <w:r w:rsidRPr="006F47E0">
        <w:rPr>
          <w:rFonts w:ascii="Cambria" w:hAnsi="Cambria"/>
          <w:lang w:val="es-ES"/>
        </w:rPr>
        <w:t>datos que representen</w:t>
      </w:r>
      <w:r w:rsidRPr="006F47E0">
        <w:rPr>
          <w:rFonts w:ascii="Cambria" w:eastAsia="SimSun" w:hAnsi="Cambria"/>
          <w:szCs w:val="24"/>
          <w:lang w:val="es-ES"/>
        </w:rPr>
        <w:t xml:space="preserve"> los conocimientos tradicionales.</w:t>
      </w:r>
    </w:p>
    <w:p w14:paraId="4435E558" w14:textId="643E9FC4" w:rsidR="006F47E0" w:rsidRDefault="006F47E0" w:rsidP="006F47E0">
      <w:pPr>
        <w:pStyle w:val="Questions"/>
        <w:numPr>
          <w:ilvl w:val="0"/>
          <w:numId w:val="0"/>
        </w:numPr>
        <w:ind w:left="1440"/>
        <w:rPr>
          <w:rFonts w:ascii="Cambria" w:hAnsi="Cambria"/>
          <w:lang w:val="es-ES"/>
        </w:rPr>
      </w:pPr>
    </w:p>
    <w:p w14:paraId="2C31B951" w14:textId="6B1AB2C6" w:rsidR="00291A9E" w:rsidRDefault="00291A9E" w:rsidP="006F47E0">
      <w:pPr>
        <w:pStyle w:val="Context"/>
        <w:numPr>
          <w:ilvl w:val="0"/>
          <w:numId w:val="11"/>
        </w:numPr>
        <w:spacing w:before="0" w:after="0"/>
        <w:rPr>
          <w:rFonts w:ascii="Cambria" w:hAnsi="Cambria"/>
          <w:sz w:val="22"/>
          <w:szCs w:val="22"/>
          <w:lang w:val="es-ES"/>
        </w:rPr>
      </w:pPr>
      <w:r w:rsidRPr="00291A9E">
        <w:rPr>
          <w:rFonts w:ascii="Cambria" w:hAnsi="Cambria"/>
          <w:sz w:val="22"/>
          <w:szCs w:val="22"/>
          <w:lang w:val="es-ES"/>
        </w:rPr>
        <w:t xml:space="preserve">Le rogamos que nos haga llegar sus comentarios sobre lo siguiente:  </w:t>
      </w:r>
    </w:p>
    <w:p w14:paraId="7A4945CB" w14:textId="77777777" w:rsidR="00291A9E" w:rsidRDefault="00291A9E" w:rsidP="00291A9E">
      <w:pPr>
        <w:rPr>
          <w:lang w:val="es-ES"/>
        </w:rPr>
      </w:pPr>
    </w:p>
    <w:p w14:paraId="13018957" w14:textId="31307CD5" w:rsidR="006F47E0" w:rsidRPr="006F47E0" w:rsidRDefault="006F47E0" w:rsidP="00291A9E">
      <w:pPr>
        <w:pStyle w:val="Context"/>
        <w:numPr>
          <w:ilvl w:val="0"/>
          <w:numId w:val="45"/>
        </w:numPr>
        <w:spacing w:before="0" w:after="0"/>
        <w:ind w:left="1350" w:hanging="270"/>
        <w:rPr>
          <w:rFonts w:ascii="Cambria" w:hAnsi="Cambria"/>
          <w:sz w:val="22"/>
          <w:szCs w:val="22"/>
          <w:lang w:val="es-ES"/>
        </w:rPr>
      </w:pPr>
      <w:r w:rsidRPr="006F47E0">
        <w:rPr>
          <w:rFonts w:ascii="Cambria" w:hAnsi="Cambria"/>
          <w:sz w:val="22"/>
          <w:szCs w:val="22"/>
          <w:lang w:val="es-ES"/>
        </w:rPr>
        <w:t>¿Existen omisiones o lagunas importantes en el borrador V0?</w:t>
      </w:r>
    </w:p>
    <w:p w14:paraId="3BB77A38" w14:textId="43D765B5" w:rsidR="006F47E0" w:rsidRPr="006F47E0" w:rsidRDefault="006F47E0" w:rsidP="00291A9E">
      <w:pPr>
        <w:pStyle w:val="Context"/>
        <w:numPr>
          <w:ilvl w:val="0"/>
          <w:numId w:val="45"/>
        </w:numPr>
        <w:spacing w:before="0" w:after="0"/>
        <w:ind w:left="1350" w:hanging="270"/>
        <w:rPr>
          <w:rFonts w:ascii="Cambria" w:hAnsi="Cambria"/>
          <w:sz w:val="22"/>
          <w:szCs w:val="22"/>
          <w:lang w:val="es-ES"/>
        </w:rPr>
      </w:pPr>
      <w:r w:rsidRPr="006F47E0">
        <w:rPr>
          <w:rFonts w:ascii="Cambria" w:hAnsi="Cambria"/>
          <w:sz w:val="22"/>
          <w:szCs w:val="22"/>
          <w:lang w:val="es-ES"/>
        </w:rPr>
        <w:t xml:space="preserve">¿Están los temas infrarrepresentados o sobrerrepresentados en relación con su importancia? </w:t>
      </w:r>
    </w:p>
    <w:p w14:paraId="08D8901D" w14:textId="77777777" w:rsidR="006F47E0" w:rsidRPr="006F47E0" w:rsidRDefault="006F47E0" w:rsidP="00291A9E">
      <w:pPr>
        <w:pStyle w:val="Context"/>
        <w:numPr>
          <w:ilvl w:val="0"/>
          <w:numId w:val="45"/>
        </w:numPr>
        <w:spacing w:before="0" w:after="0"/>
        <w:ind w:left="1350" w:hanging="270"/>
        <w:rPr>
          <w:rFonts w:ascii="Cambria" w:hAnsi="Cambria"/>
          <w:sz w:val="22"/>
          <w:szCs w:val="22"/>
          <w:lang w:val="es-ES"/>
        </w:rPr>
      </w:pPr>
      <w:r w:rsidRPr="006F47E0">
        <w:rPr>
          <w:rFonts w:ascii="Cambria" w:hAnsi="Cambria"/>
          <w:sz w:val="22"/>
          <w:szCs w:val="22"/>
          <w:lang w:val="es-ES"/>
        </w:rPr>
        <w:t>¿Existen hechos o afirmaciones redundantes que podrían eliminarse del borrador V0?</w:t>
      </w:r>
    </w:p>
    <w:p w14:paraId="5184125F" w14:textId="771D4CDF" w:rsidR="006F47E0" w:rsidRPr="006F47E0" w:rsidRDefault="006F47E0" w:rsidP="00291A9E">
      <w:pPr>
        <w:pStyle w:val="Context"/>
        <w:numPr>
          <w:ilvl w:val="0"/>
          <w:numId w:val="45"/>
        </w:numPr>
        <w:spacing w:before="0" w:after="0"/>
        <w:ind w:left="1350" w:hanging="270"/>
        <w:rPr>
          <w:rFonts w:ascii="Cambria" w:eastAsia="SimSun" w:hAnsi="Cambria" w:cstheme="minorHAnsi"/>
          <w:sz w:val="22"/>
          <w:szCs w:val="22"/>
          <w:lang w:val="es-ES"/>
        </w:rPr>
      </w:pPr>
      <w:r w:rsidRPr="006F47E0">
        <w:rPr>
          <w:rFonts w:ascii="Cambria" w:hAnsi="Cambria"/>
          <w:sz w:val="22"/>
          <w:szCs w:val="22"/>
          <w:lang w:val="es-ES"/>
        </w:rPr>
        <w:t>¿Hay hechos o conclusiones refutados, cuestionables o afirmaciones sin base empírica?</w:t>
      </w:r>
    </w:p>
    <w:p w14:paraId="00FDE484" w14:textId="5276143A" w:rsidR="006F47E0" w:rsidRDefault="006F47E0" w:rsidP="00C553D2">
      <w:pPr>
        <w:pStyle w:val="Boulettespr-numration"/>
        <w:rPr>
          <w:rFonts w:ascii="Cambria" w:hAnsi="Cambria" w:cstheme="minorBidi"/>
          <w:lang w:val="es-ES"/>
        </w:rPr>
      </w:pPr>
    </w:p>
    <w:p w14:paraId="785F03BE" w14:textId="52906EBD" w:rsidR="006F47E0" w:rsidRPr="006F47E0" w:rsidRDefault="00291A9E" w:rsidP="006F47E0">
      <w:pPr>
        <w:pStyle w:val="Boulettespr-numration"/>
        <w:rPr>
          <w:rFonts w:ascii="Cambria" w:hAnsi="Cambria" w:cstheme="minorBidi"/>
          <w:lang w:val="es-ES"/>
        </w:rPr>
      </w:pPr>
      <w:r w:rsidRPr="00291A9E">
        <w:rPr>
          <w:rFonts w:ascii="Cambria" w:hAnsi="Cambria" w:cstheme="minorBidi"/>
          <w:lang w:val="es-ES"/>
        </w:rPr>
        <w:t>Agradecemos de antemano a todos los colaboradores la lectura, comentarios y aportaciones a este borrador V0 del informe.</w:t>
      </w:r>
      <w:r>
        <w:rPr>
          <w:rFonts w:ascii="Cambria" w:hAnsi="Cambria" w:cstheme="minorBidi"/>
          <w:lang w:val="es-ES"/>
        </w:rPr>
        <w:t xml:space="preserve"> </w:t>
      </w:r>
      <w:r w:rsidR="006F47E0" w:rsidRPr="006F47E0">
        <w:rPr>
          <w:rFonts w:ascii="Cambria" w:hAnsi="Cambria" w:cstheme="minorBidi"/>
          <w:lang w:val="es-ES"/>
        </w:rPr>
        <w:t>Esperamos que la</w:t>
      </w:r>
      <w:r>
        <w:rPr>
          <w:rFonts w:ascii="Cambria" w:hAnsi="Cambria" w:cstheme="minorBidi"/>
          <w:lang w:val="es-ES"/>
        </w:rPr>
        <w:t xml:space="preserve"> consulta sea rica y fructífera!</w:t>
      </w:r>
    </w:p>
    <w:p w14:paraId="701F8270" w14:textId="77777777" w:rsidR="006F47E0" w:rsidRPr="006F47E0" w:rsidRDefault="006F47E0" w:rsidP="006F47E0">
      <w:pPr>
        <w:pStyle w:val="Boulettespr-numration"/>
        <w:rPr>
          <w:rFonts w:ascii="Cambria" w:hAnsi="Cambria" w:cstheme="minorBidi"/>
          <w:i/>
          <w:lang w:val="es-ES"/>
        </w:rPr>
      </w:pPr>
    </w:p>
    <w:p w14:paraId="16F2C612" w14:textId="03DBEA9E" w:rsidR="006F47E0" w:rsidRPr="006F47E0" w:rsidRDefault="006F47E0" w:rsidP="006F47E0">
      <w:pPr>
        <w:pStyle w:val="Boulettespr-numration"/>
        <w:rPr>
          <w:rFonts w:ascii="Cambria" w:hAnsi="Cambria" w:cstheme="minorBidi"/>
          <w:i/>
          <w:lang w:val="es-ES"/>
        </w:rPr>
      </w:pPr>
      <w:r w:rsidRPr="006F47E0">
        <w:rPr>
          <w:rFonts w:ascii="Cambria" w:hAnsi="Cambria" w:cstheme="minorBidi"/>
          <w:i/>
          <w:lang w:val="es-ES"/>
        </w:rPr>
        <w:t>El Comité Directivo del HLPE</w:t>
      </w:r>
      <w:bookmarkStart w:id="0" w:name="_GoBack"/>
      <w:bookmarkEnd w:id="0"/>
    </w:p>
    <w:sectPr w:rsidR="006F47E0" w:rsidRPr="006F47E0" w:rsidSect="008F2ADB">
      <w:headerReference w:type="even" r:id="rId19"/>
      <w:headerReference w:type="default" r:id="rId20"/>
      <w:footerReference w:type="even" r:id="rId21"/>
      <w:footerReference w:type="default" r:id="rId22"/>
      <w:headerReference w:type="first" r:id="rId23"/>
      <w:footerReference w:type="first" r:id="rId24"/>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79094" w14:textId="77777777" w:rsidR="001D521D" w:rsidRDefault="001D521D" w:rsidP="00D079C6">
      <w:r>
        <w:separator/>
      </w:r>
    </w:p>
    <w:p w14:paraId="1E8271AF" w14:textId="77777777" w:rsidR="001D521D" w:rsidRDefault="001D521D"/>
  </w:endnote>
  <w:endnote w:type="continuationSeparator" w:id="0">
    <w:p w14:paraId="5035B686" w14:textId="77777777" w:rsidR="001D521D" w:rsidRDefault="001D521D" w:rsidP="00D079C6">
      <w:r>
        <w:continuationSeparator/>
      </w:r>
    </w:p>
    <w:p w14:paraId="37A81031" w14:textId="77777777" w:rsidR="001D521D" w:rsidRDefault="001D5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Verdana"/>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D89AA" w14:textId="77777777" w:rsidR="001724FA" w:rsidRDefault="00172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66B4FEEC" w14:textId="77777777" w:rsidTr="008F2ADB">
      <w:tc>
        <w:tcPr>
          <w:tcW w:w="9639" w:type="dxa"/>
        </w:tcPr>
        <w:p w14:paraId="44AAC784" w14:textId="77777777" w:rsidR="00523E6B" w:rsidRPr="00351B73" w:rsidRDefault="00523E6B" w:rsidP="00EB3574">
          <w:pPr>
            <w:pStyle w:val="Footer"/>
            <w:jc w:val="center"/>
            <w:rPr>
              <w:b/>
              <w:color w:val="C00000"/>
            </w:rPr>
          </w:pPr>
        </w:p>
      </w:tc>
    </w:tr>
  </w:tbl>
  <w:p w14:paraId="48A49A1F" w14:textId="77777777" w:rsidR="00523E6B" w:rsidRDefault="00523E6B" w:rsidP="008E48A2">
    <w:pPr>
      <w:pStyle w:val="Footer"/>
      <w:jc w:val="center"/>
      <w:rPr>
        <w:b/>
        <w:color w:val="C00000"/>
      </w:rPr>
    </w:pPr>
  </w:p>
  <w:p w14:paraId="6DB970CC" w14:textId="31981FDE" w:rsidR="00527518" w:rsidRPr="00527518" w:rsidRDefault="00527518" w:rsidP="00527518">
    <w:pPr>
      <w:pStyle w:val="Footer"/>
      <w:tabs>
        <w:tab w:val="clear" w:pos="9360"/>
        <w:tab w:val="right" w:pos="9639"/>
      </w:tabs>
      <w:jc w:val="left"/>
      <w:rPr>
        <w:rStyle w:val="Hyperlink"/>
      </w:rPr>
    </w:pPr>
    <w:r w:rsidRPr="00527518">
      <w:rPr>
        <w:color w:val="31849B" w:themeColor="accent5" w:themeShade="BF"/>
      </w:rPr>
      <w:t>Global Forum on Food Security and Nutrition</w:t>
    </w:r>
    <w:r>
      <w:rPr>
        <w:color w:val="31849B" w:themeColor="accent5" w:themeShade="BF"/>
      </w:rPr>
      <w:tab/>
    </w:r>
    <w:r w:rsidRPr="00527518">
      <w:rPr>
        <w:color w:val="C00000"/>
      </w:rPr>
      <w:tab/>
    </w:r>
    <w:hyperlink r:id="rId1" w:history="1">
      <w:r w:rsidRPr="00527518">
        <w:rPr>
          <w:rStyle w:val="Hyperlink"/>
        </w:rPr>
        <w:t>www.fao.org/fsnforum</w:t>
      </w:r>
    </w:hyperlink>
    <w:r w:rsidR="001724FA">
      <w:rPr>
        <w:rStyle w:val="Hyperlink"/>
      </w:rPr>
      <w:t>/es</w:t>
    </w:r>
  </w:p>
  <w:p w14:paraId="7E2944A2" w14:textId="77777777" w:rsidR="00523E6B" w:rsidRPr="008F2ADB" w:rsidRDefault="00523E6B" w:rsidP="008F2ADB">
    <w:pPr>
      <w:pStyle w:val="Footer"/>
      <w:jc w:val="left"/>
      <w:rPr>
        <w:b/>
        <w:color w:val="31849B" w:themeColor="accent5" w:themeShade="B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73B1A501" w14:textId="77777777" w:rsidTr="000929E7">
      <w:tc>
        <w:tcPr>
          <w:tcW w:w="9639" w:type="dxa"/>
        </w:tcPr>
        <w:p w14:paraId="63EF703C" w14:textId="77777777" w:rsidR="00523E6B" w:rsidRPr="00351B73" w:rsidRDefault="00523E6B" w:rsidP="000929E7">
          <w:pPr>
            <w:pStyle w:val="Footer"/>
            <w:jc w:val="center"/>
            <w:rPr>
              <w:b/>
              <w:color w:val="C00000"/>
            </w:rPr>
          </w:pPr>
        </w:p>
      </w:tc>
    </w:tr>
  </w:tbl>
  <w:p w14:paraId="01141732" w14:textId="77777777" w:rsidR="00523E6B" w:rsidRDefault="00523E6B" w:rsidP="008F2ADB">
    <w:pPr>
      <w:pStyle w:val="Footer"/>
      <w:jc w:val="center"/>
      <w:rPr>
        <w:b/>
        <w:color w:val="C00000"/>
      </w:rPr>
    </w:pPr>
  </w:p>
  <w:p w14:paraId="7ACA8824" w14:textId="77777777" w:rsidR="00523E6B" w:rsidRPr="00527518" w:rsidRDefault="00523E6B" w:rsidP="008F2ADB">
    <w:pPr>
      <w:pStyle w:val="Footer"/>
      <w:tabs>
        <w:tab w:val="clear" w:pos="9360"/>
        <w:tab w:val="right" w:pos="9639"/>
      </w:tabs>
      <w:jc w:val="left"/>
      <w:rPr>
        <w:rStyle w:val="Hyperlink"/>
      </w:rPr>
    </w:pPr>
    <w:r w:rsidRPr="00527518">
      <w:rPr>
        <w:color w:val="31849B" w:themeColor="accent5" w:themeShade="BF"/>
      </w:rPr>
      <w:t>Global Forum on Food Security and Nutrition</w:t>
    </w:r>
    <w:r w:rsidR="00527518">
      <w:rPr>
        <w:color w:val="31849B" w:themeColor="accent5" w:themeShade="BF"/>
      </w:rPr>
      <w:tab/>
    </w:r>
    <w:r w:rsidRPr="00527518">
      <w:rPr>
        <w:color w:val="C00000"/>
      </w:rPr>
      <w:tab/>
    </w:r>
    <w:hyperlink r:id="rId1" w:history="1">
      <w:r w:rsidRPr="00527518">
        <w:rPr>
          <w:rStyle w:val="Hyperlink"/>
        </w:rPr>
        <w:t>www.fao.org/fsnforum</w:t>
      </w:r>
    </w:hyperlink>
  </w:p>
  <w:p w14:paraId="46D5C903"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98CD9" w14:textId="77777777" w:rsidR="001D521D" w:rsidRDefault="001D521D" w:rsidP="00D079C6">
      <w:r>
        <w:separator/>
      </w:r>
    </w:p>
    <w:p w14:paraId="707D6501" w14:textId="77777777" w:rsidR="001D521D" w:rsidRDefault="001D521D"/>
  </w:footnote>
  <w:footnote w:type="continuationSeparator" w:id="0">
    <w:p w14:paraId="20344E39" w14:textId="77777777" w:rsidR="001D521D" w:rsidRDefault="001D521D" w:rsidP="00D079C6">
      <w:r>
        <w:continuationSeparator/>
      </w:r>
    </w:p>
    <w:p w14:paraId="11A9A365" w14:textId="77777777" w:rsidR="001D521D" w:rsidRDefault="001D52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5B03B" w14:textId="77777777" w:rsidR="001724FA" w:rsidRDefault="001724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291A9E" w14:paraId="77B98CCB" w14:textId="77777777" w:rsidTr="00220FC1">
      <w:tc>
        <w:tcPr>
          <w:tcW w:w="249" w:type="pct"/>
        </w:tcPr>
        <w:p w14:paraId="78B1BDCD" w14:textId="4F07C331" w:rsidR="00523E6B" w:rsidRPr="00B01341" w:rsidRDefault="00523E6B">
          <w:pPr>
            <w:pStyle w:val="Head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291A9E">
            <w:rPr>
              <w:noProof/>
              <w:color w:val="31849B"/>
              <w:sz w:val="20"/>
              <w:szCs w:val="20"/>
            </w:rPr>
            <w:t>4</w:t>
          </w:r>
          <w:r w:rsidRPr="00B01341">
            <w:rPr>
              <w:color w:val="31849B"/>
              <w:sz w:val="20"/>
              <w:szCs w:val="20"/>
            </w:rPr>
            <w:fldChar w:fldCharType="end"/>
          </w:r>
        </w:p>
      </w:tc>
      <w:tc>
        <w:tcPr>
          <w:tcW w:w="4751" w:type="pct"/>
        </w:tcPr>
        <w:p w14:paraId="55CB6A4A" w14:textId="2D9367AB" w:rsidR="00523E6B" w:rsidRPr="001724FA" w:rsidRDefault="001724FA" w:rsidP="000903FE">
          <w:pPr>
            <w:pStyle w:val="top"/>
            <w:rPr>
              <w:lang w:val="es-ES"/>
            </w:rPr>
          </w:pPr>
          <w:r w:rsidRPr="001724FA">
            <w:rPr>
              <w:lang w:val="es-ES"/>
            </w:rPr>
            <w:t>Herramientas de recopilación y análisis de datos para la seguridad alimentaria y la nutrición - Consulta electrónico sobre el borrador V0 del informe propuesta por el Comité Directivo del HLPE y el equipo del proyecto</w:t>
          </w:r>
        </w:p>
      </w:tc>
    </w:tr>
  </w:tbl>
  <w:p w14:paraId="245B47E0" w14:textId="77777777" w:rsidR="00523E6B" w:rsidRPr="001724FA" w:rsidRDefault="00523E6B">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B401D" w14:textId="77777777" w:rsidR="00523E6B" w:rsidRDefault="00523E6B" w:rsidP="008E48A2">
    <w:pPr>
      <w:pStyle w:val="Header"/>
      <w:jc w:val="left"/>
      <w:rPr>
        <w:b/>
        <w:color w:val="FFFFFF"/>
      </w:rPr>
    </w:pPr>
    <w:r w:rsidRPr="00DC6173">
      <w:t xml:space="preserve"> </w:t>
    </w:r>
    <w:r>
      <w:rPr>
        <w:noProof/>
      </w:rPr>
      <w:drawing>
        <wp:inline distT="0" distB="0" distL="0" distR="0" wp14:anchorId="6D70559C" wp14:editId="099129AD">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3387711A" w14:textId="77777777" w:rsidR="00523E6B" w:rsidRDefault="00523E6B" w:rsidP="00DC6173">
    <w:pPr>
      <w:pStyle w:val="Header"/>
      <w:jc w:val="right"/>
      <w:rPr>
        <w:b/>
        <w:color w:val="FFFFFF"/>
      </w:rPr>
    </w:pPr>
  </w:p>
  <w:p w14:paraId="6E0AC0BE" w14:textId="77777777" w:rsidR="00523E6B" w:rsidRPr="00242BC8" w:rsidRDefault="00242BC8" w:rsidP="00242BC8">
    <w:pPr>
      <w:pStyle w:val="Heading4"/>
    </w:pPr>
    <w:r>
      <w:rPr>
        <w:noProof/>
      </w:rPr>
      <w:drawing>
        <wp:inline distT="0" distB="0" distL="0" distR="0" wp14:anchorId="20F889D2" wp14:editId="79CC0B10">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363C2407" w14:textId="77777777" w:rsidTr="00A30E12">
      <w:trPr>
        <w:jc w:val="center"/>
      </w:trPr>
      <w:tc>
        <w:tcPr>
          <w:tcW w:w="9639" w:type="dxa"/>
          <w:shd w:val="clear" w:color="auto" w:fill="DAEEF3" w:themeFill="accent5" w:themeFillTint="33"/>
        </w:tcPr>
        <w:p w14:paraId="2D91321C" w14:textId="78F625ED" w:rsidR="00523E6B" w:rsidRPr="0043646E" w:rsidRDefault="004F07D0" w:rsidP="00F4087E">
          <w:pPr>
            <w:pStyle w:val="Heading6"/>
            <w:spacing w:before="0" w:after="0"/>
          </w:pPr>
          <w:r>
            <w:t>NOTA TEMÁTICA</w:t>
          </w:r>
        </w:p>
      </w:tc>
    </w:tr>
    <w:tr w:rsidR="00523E6B" w:rsidRPr="00291A9E" w14:paraId="5834E678" w14:textId="77777777" w:rsidTr="00A30E12">
      <w:trPr>
        <w:jc w:val="center"/>
      </w:trPr>
      <w:tc>
        <w:tcPr>
          <w:tcW w:w="9639" w:type="dxa"/>
          <w:shd w:val="clear" w:color="auto" w:fill="FFFFFF" w:themeFill="background1"/>
        </w:tcPr>
        <w:p w14:paraId="3C3F01CD" w14:textId="29A5A2B6" w:rsidR="00086390" w:rsidRPr="004F07D0" w:rsidRDefault="004F07D0" w:rsidP="00FC119D">
          <w:pPr>
            <w:spacing w:line="276" w:lineRule="auto"/>
            <w:jc w:val="center"/>
            <w:rPr>
              <w:b/>
              <w:color w:val="31849B" w:themeColor="accent5" w:themeShade="BF"/>
              <w:lang w:val="es-ES"/>
            </w:rPr>
          </w:pPr>
          <w:r w:rsidRPr="004F07D0">
            <w:rPr>
              <w:b/>
              <w:lang w:val="es-ES"/>
            </w:rPr>
            <w:t>Consulta</w:t>
          </w:r>
          <w:r>
            <w:rPr>
              <w:b/>
              <w:lang w:val="es-ES"/>
            </w:rPr>
            <w:t xml:space="preserve"> </w:t>
          </w:r>
          <w:r>
            <w:rPr>
              <w:rFonts w:asciiTheme="majorHAnsi" w:hAnsiTheme="majorHAnsi"/>
              <w:b/>
              <w:lang w:val="es-ES"/>
            </w:rPr>
            <w:t>núm</w:t>
          </w:r>
          <w:r w:rsidR="00523E6B" w:rsidRPr="004F07D0">
            <w:rPr>
              <w:b/>
              <w:lang w:val="es-ES"/>
            </w:rPr>
            <w:t xml:space="preserve">. </w:t>
          </w:r>
          <w:r w:rsidR="00C17C76" w:rsidRPr="004F07D0">
            <w:rPr>
              <w:b/>
              <w:lang w:val="es-ES"/>
            </w:rPr>
            <w:t>17</w:t>
          </w:r>
          <w:r w:rsidR="0020466C" w:rsidRPr="004F07D0">
            <w:rPr>
              <w:b/>
              <w:lang w:val="es-ES"/>
            </w:rPr>
            <w:t>6</w:t>
          </w:r>
          <w:r w:rsidR="00523E6B" w:rsidRPr="004F07D0">
            <w:rPr>
              <w:b/>
              <w:lang w:val="es-ES"/>
            </w:rPr>
            <w:t xml:space="preserve">  </w:t>
          </w:r>
          <w:r w:rsidR="00F54D6C" w:rsidRPr="00B655B5">
            <w:rPr>
              <w:rFonts w:ascii="Wingdings" w:hAnsi="Wingdings"/>
              <w:color w:val="31849B" w:themeColor="accent5" w:themeShade="BF"/>
            </w:rPr>
            <w:t></w:t>
          </w:r>
          <w:r w:rsidR="00523E6B" w:rsidRPr="004F07D0">
            <w:rPr>
              <w:b/>
              <w:lang w:val="es-ES"/>
            </w:rPr>
            <w:t xml:space="preserve">  </w:t>
          </w:r>
          <w:r w:rsidR="003D1FA0" w:rsidRPr="004F07D0">
            <w:rPr>
              <w:b/>
              <w:lang w:val="es-ES"/>
            </w:rPr>
            <w:t>29</w:t>
          </w:r>
          <w:r w:rsidR="00F32976" w:rsidRPr="004F07D0">
            <w:rPr>
              <w:b/>
              <w:lang w:val="es-ES"/>
            </w:rPr>
            <w:t>.</w:t>
          </w:r>
          <w:r w:rsidR="00FC119D" w:rsidRPr="004F07D0">
            <w:rPr>
              <w:b/>
              <w:lang w:val="es-ES"/>
            </w:rPr>
            <w:t>12</w:t>
          </w:r>
          <w:r w:rsidR="00F32976" w:rsidRPr="004F07D0">
            <w:rPr>
              <w:b/>
              <w:lang w:val="es-ES"/>
            </w:rPr>
            <w:t>.</w:t>
          </w:r>
          <w:r w:rsidR="00C17C76" w:rsidRPr="004F07D0">
            <w:rPr>
              <w:b/>
              <w:lang w:val="es-ES"/>
            </w:rPr>
            <w:t>2021</w:t>
          </w:r>
          <w:r w:rsidR="00F32976" w:rsidRPr="004F07D0">
            <w:rPr>
              <w:b/>
              <w:lang w:val="es-ES"/>
            </w:rPr>
            <w:t xml:space="preserve"> – </w:t>
          </w:r>
          <w:r w:rsidR="00F54D6C" w:rsidRPr="004F07D0">
            <w:rPr>
              <w:b/>
              <w:lang w:val="es-ES"/>
            </w:rPr>
            <w:t>2</w:t>
          </w:r>
          <w:r w:rsidR="003D1FA0" w:rsidRPr="004F07D0">
            <w:rPr>
              <w:b/>
              <w:lang w:val="es-ES"/>
            </w:rPr>
            <w:t>6</w:t>
          </w:r>
          <w:r w:rsidR="00F32976" w:rsidRPr="004F07D0">
            <w:rPr>
              <w:b/>
              <w:lang w:val="es-ES"/>
            </w:rPr>
            <w:t>.</w:t>
          </w:r>
          <w:r w:rsidR="00F54D6C" w:rsidRPr="004F07D0">
            <w:rPr>
              <w:b/>
              <w:lang w:val="es-ES"/>
            </w:rPr>
            <w:t>01</w:t>
          </w:r>
          <w:r w:rsidR="00574BA9" w:rsidRPr="004F07D0">
            <w:rPr>
              <w:b/>
              <w:lang w:val="es-ES"/>
            </w:rPr>
            <w:t>.</w:t>
          </w:r>
          <w:r w:rsidR="003D1FA0" w:rsidRPr="004F07D0">
            <w:rPr>
              <w:b/>
              <w:lang w:val="es-ES"/>
            </w:rPr>
            <w:t>2022</w:t>
          </w:r>
          <w:r w:rsidR="008B1EF1" w:rsidRPr="004F07D0">
            <w:rPr>
              <w:b/>
              <w:lang w:val="es-ES"/>
            </w:rPr>
            <w:t xml:space="preserve"> </w:t>
          </w:r>
          <w:r w:rsidR="00523E6B" w:rsidRPr="004F07D0">
            <w:rPr>
              <w:b/>
              <w:color w:val="31849B" w:themeColor="accent5" w:themeShade="BF"/>
              <w:lang w:val="es-ES"/>
            </w:rPr>
            <w:br/>
          </w:r>
          <w:r w:rsidR="00164735" w:rsidRPr="00FC119D">
            <w:rPr>
              <w:noProof/>
            </w:rPr>
            <w:drawing>
              <wp:inline distT="0" distB="0" distL="0" distR="0" wp14:anchorId="5F0C8F72" wp14:editId="7FE7E8FE">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164735" w:rsidRPr="004F07D0">
            <w:rPr>
              <w:lang w:val="es-ES"/>
            </w:rPr>
            <w:t xml:space="preserve">   </w:t>
          </w:r>
          <w:hyperlink r:id="rId4" w:history="1">
            <w:r w:rsidRPr="0035686C">
              <w:rPr>
                <w:rStyle w:val="Hyperlink"/>
                <w:rFonts w:cs="Calibri"/>
                <w:bdr w:val="none" w:sz="0" w:space="0" w:color="auto" w:frame="1"/>
                <w:shd w:val="clear" w:color="auto" w:fill="FFFFFF"/>
                <w:lang w:val="es-ES"/>
              </w:rPr>
              <w:t>https://www.fao.org/es/fsnforum/consultations/HLPE_data_collection_analysis_tools_V0</w:t>
            </w:r>
          </w:hyperlink>
        </w:p>
      </w:tc>
    </w:tr>
  </w:tbl>
  <w:p w14:paraId="007A7100" w14:textId="77777777" w:rsidR="00523E6B" w:rsidRPr="004F07D0" w:rsidRDefault="00523E6B" w:rsidP="00B34236">
    <w:pPr>
      <w:jc w:val="cent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45E2850"/>
    <w:multiLevelType w:val="hybridMultilevel"/>
    <w:tmpl w:val="9EF812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315925"/>
    <w:multiLevelType w:val="hybridMultilevel"/>
    <w:tmpl w:val="EA82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820E6"/>
    <w:multiLevelType w:val="hybridMultilevel"/>
    <w:tmpl w:val="A29CBF9A"/>
    <w:lvl w:ilvl="0" w:tplc="96720F4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92C5851"/>
    <w:multiLevelType w:val="hybridMultilevel"/>
    <w:tmpl w:val="B4468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1D1963"/>
    <w:multiLevelType w:val="hybridMultilevel"/>
    <w:tmpl w:val="361C4A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AA361D"/>
    <w:multiLevelType w:val="hybridMultilevel"/>
    <w:tmpl w:val="68ACF6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E1038C"/>
    <w:multiLevelType w:val="hybridMultilevel"/>
    <w:tmpl w:val="8132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C267A"/>
    <w:multiLevelType w:val="multilevel"/>
    <w:tmpl w:val="8598AF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E1928B9"/>
    <w:multiLevelType w:val="hybridMultilevel"/>
    <w:tmpl w:val="D74E4FBC"/>
    <w:lvl w:ilvl="0" w:tplc="24B24CDA">
      <w:start w:val="1"/>
      <w:numFmt w:val="bullet"/>
      <w:lvlText w:val=""/>
      <w:lvlJc w:val="left"/>
      <w:pPr>
        <w:ind w:left="4592" w:hanging="360"/>
      </w:pPr>
      <w:rPr>
        <w:rFonts w:ascii="Symbol" w:hAnsi="Symbol" w:hint="default"/>
      </w:rPr>
    </w:lvl>
    <w:lvl w:ilvl="1" w:tplc="FFFFFFFF">
      <w:start w:val="1"/>
      <w:numFmt w:val="lowerLetter"/>
      <w:lvlText w:val="%2."/>
      <w:lvlJc w:val="left"/>
      <w:pPr>
        <w:ind w:left="5312" w:hanging="360"/>
      </w:pPr>
    </w:lvl>
    <w:lvl w:ilvl="2" w:tplc="FFFFFFFF">
      <w:start w:val="1"/>
      <w:numFmt w:val="lowerRoman"/>
      <w:lvlText w:val="%3."/>
      <w:lvlJc w:val="right"/>
      <w:pPr>
        <w:ind w:left="6032" w:hanging="180"/>
      </w:pPr>
    </w:lvl>
    <w:lvl w:ilvl="3" w:tplc="FFFFFFFF">
      <w:start w:val="1"/>
      <w:numFmt w:val="decimal"/>
      <w:lvlText w:val="%4."/>
      <w:lvlJc w:val="left"/>
      <w:pPr>
        <w:ind w:left="6752" w:hanging="360"/>
      </w:pPr>
    </w:lvl>
    <w:lvl w:ilvl="4" w:tplc="FFFFFFFF">
      <w:start w:val="1"/>
      <w:numFmt w:val="lowerLetter"/>
      <w:lvlText w:val="%5."/>
      <w:lvlJc w:val="left"/>
      <w:pPr>
        <w:ind w:left="7472" w:hanging="360"/>
      </w:pPr>
    </w:lvl>
    <w:lvl w:ilvl="5" w:tplc="FFFFFFFF">
      <w:start w:val="1"/>
      <w:numFmt w:val="lowerRoman"/>
      <w:lvlText w:val="%6."/>
      <w:lvlJc w:val="right"/>
      <w:pPr>
        <w:ind w:left="8192" w:hanging="180"/>
      </w:pPr>
    </w:lvl>
    <w:lvl w:ilvl="6" w:tplc="FFFFFFFF">
      <w:start w:val="1"/>
      <w:numFmt w:val="decimal"/>
      <w:lvlText w:val="%7."/>
      <w:lvlJc w:val="left"/>
      <w:pPr>
        <w:ind w:left="8912" w:hanging="360"/>
      </w:pPr>
    </w:lvl>
    <w:lvl w:ilvl="7" w:tplc="FFFFFFFF">
      <w:start w:val="1"/>
      <w:numFmt w:val="lowerLetter"/>
      <w:lvlText w:val="%8."/>
      <w:lvlJc w:val="left"/>
      <w:pPr>
        <w:ind w:left="9632" w:hanging="360"/>
      </w:pPr>
    </w:lvl>
    <w:lvl w:ilvl="8" w:tplc="FFFFFFFF">
      <w:start w:val="1"/>
      <w:numFmt w:val="lowerRoman"/>
      <w:lvlText w:val="%9."/>
      <w:lvlJc w:val="right"/>
      <w:pPr>
        <w:ind w:left="10352" w:hanging="180"/>
      </w:pPr>
    </w:lvl>
  </w:abstractNum>
  <w:abstractNum w:abstractNumId="10" w15:restartNumberingAfterBreak="0">
    <w:nsid w:val="2E663F83"/>
    <w:multiLevelType w:val="hybridMultilevel"/>
    <w:tmpl w:val="A5F08B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4C16EEA"/>
    <w:multiLevelType w:val="hybridMultilevel"/>
    <w:tmpl w:val="9CCC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1D065F"/>
    <w:multiLevelType w:val="hybridMultilevel"/>
    <w:tmpl w:val="1C7066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E8721B"/>
    <w:multiLevelType w:val="multilevel"/>
    <w:tmpl w:val="837ED6A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F4D68A7"/>
    <w:multiLevelType w:val="hybridMultilevel"/>
    <w:tmpl w:val="1CAA02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0240A86"/>
    <w:multiLevelType w:val="hybridMultilevel"/>
    <w:tmpl w:val="59F68A66"/>
    <w:lvl w:ilvl="0" w:tplc="96720F4A">
      <w:start w:val="1"/>
      <w:numFmt w:val="decimal"/>
      <w:pStyle w:val="Context"/>
      <w:lvlText w:val="%1."/>
      <w:lvlJc w:val="left"/>
      <w:pPr>
        <w:ind w:left="720" w:hanging="360"/>
      </w:pPr>
    </w:lvl>
    <w:lvl w:ilvl="1" w:tplc="FC48EED8">
      <w:start w:val="1"/>
      <w:numFmt w:val="lowerLetter"/>
      <w:pStyle w:val="Questions"/>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8A53C8D"/>
    <w:multiLevelType w:val="hybridMultilevel"/>
    <w:tmpl w:val="F336F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95FBA"/>
    <w:multiLevelType w:val="multilevel"/>
    <w:tmpl w:val="67E2E6C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882D36"/>
    <w:multiLevelType w:val="hybridMultilevel"/>
    <w:tmpl w:val="7AA0F00A"/>
    <w:lvl w:ilvl="0" w:tplc="71203602">
      <w:start w:val="1"/>
      <w:numFmt w:val="decimal"/>
      <w:pStyle w:val="ListParagraph"/>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9" w15:restartNumberingAfterBreak="0">
    <w:nsid w:val="768E7E49"/>
    <w:multiLevelType w:val="hybridMultilevel"/>
    <w:tmpl w:val="1908C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5E3572"/>
    <w:multiLevelType w:val="hybridMultilevel"/>
    <w:tmpl w:val="050CF9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E7B0811"/>
    <w:multiLevelType w:val="multilevel"/>
    <w:tmpl w:val="38BE62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8"/>
  </w:num>
  <w:num w:numId="2">
    <w:abstractNumId w:val="2"/>
  </w:num>
  <w:num w:numId="3">
    <w:abstractNumId w:val="17"/>
  </w:num>
  <w:num w:numId="4">
    <w:abstractNumId w:val="12"/>
  </w:num>
  <w:num w:numId="5">
    <w:abstractNumId w:val="19"/>
  </w:num>
  <w:num w:numId="6">
    <w:abstractNumId w:val="6"/>
  </w:num>
  <w:num w:numId="7">
    <w:abstractNumId w:val="14"/>
  </w:num>
  <w:num w:numId="8">
    <w:abstractNumId w:val="16"/>
  </w:num>
  <w:num w:numId="9">
    <w:abstractNumId w:val="1"/>
  </w:num>
  <w:num w:numId="10">
    <w:abstractNumId w:val="9"/>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num>
  <w:num w:numId="14">
    <w:abstractNumId w:val="15"/>
  </w:num>
  <w:num w:numId="15">
    <w:abstractNumId w:val="1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7"/>
  </w:num>
  <w:num w:numId="31">
    <w:abstractNumId w:val="8"/>
  </w:num>
  <w:num w:numId="32">
    <w:abstractNumId w:val="21"/>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1"/>
  </w:num>
  <w:num w:numId="44">
    <w:abstractNumId w:val="5"/>
  </w:num>
  <w:num w:numId="4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ru-RU" w:vendorID="64" w:dllVersion="409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2486"/>
    <w:rsid w:val="000043AB"/>
    <w:rsid w:val="00013288"/>
    <w:rsid w:val="0001564B"/>
    <w:rsid w:val="00016690"/>
    <w:rsid w:val="0002230B"/>
    <w:rsid w:val="00024193"/>
    <w:rsid w:val="00024380"/>
    <w:rsid w:val="00024FA9"/>
    <w:rsid w:val="00025F78"/>
    <w:rsid w:val="00037863"/>
    <w:rsid w:val="000411F2"/>
    <w:rsid w:val="000421C7"/>
    <w:rsid w:val="0005103A"/>
    <w:rsid w:val="0005149B"/>
    <w:rsid w:val="0005291E"/>
    <w:rsid w:val="000532EE"/>
    <w:rsid w:val="00056074"/>
    <w:rsid w:val="00056289"/>
    <w:rsid w:val="00060C04"/>
    <w:rsid w:val="00061DC3"/>
    <w:rsid w:val="00062210"/>
    <w:rsid w:val="00065A57"/>
    <w:rsid w:val="0006745E"/>
    <w:rsid w:val="00067649"/>
    <w:rsid w:val="00067C97"/>
    <w:rsid w:val="00070649"/>
    <w:rsid w:val="00070A34"/>
    <w:rsid w:val="000719AE"/>
    <w:rsid w:val="00072809"/>
    <w:rsid w:val="000731D0"/>
    <w:rsid w:val="00074F31"/>
    <w:rsid w:val="000750AF"/>
    <w:rsid w:val="00077238"/>
    <w:rsid w:val="00081ACF"/>
    <w:rsid w:val="000862CA"/>
    <w:rsid w:val="00086390"/>
    <w:rsid w:val="000903FE"/>
    <w:rsid w:val="000929E7"/>
    <w:rsid w:val="00093BC6"/>
    <w:rsid w:val="00094770"/>
    <w:rsid w:val="000A1DCA"/>
    <w:rsid w:val="000A647B"/>
    <w:rsid w:val="000B163E"/>
    <w:rsid w:val="000B4BB8"/>
    <w:rsid w:val="000B63A7"/>
    <w:rsid w:val="000C0659"/>
    <w:rsid w:val="000C3FD2"/>
    <w:rsid w:val="000C73F9"/>
    <w:rsid w:val="000C7F12"/>
    <w:rsid w:val="000D0FA5"/>
    <w:rsid w:val="000D1CDA"/>
    <w:rsid w:val="000D2F1A"/>
    <w:rsid w:val="000D3A0C"/>
    <w:rsid w:val="000D4FAB"/>
    <w:rsid w:val="000E05B8"/>
    <w:rsid w:val="000E1654"/>
    <w:rsid w:val="000E2902"/>
    <w:rsid w:val="000E4AC0"/>
    <w:rsid w:val="000E4F0D"/>
    <w:rsid w:val="000E5BDF"/>
    <w:rsid w:val="000E7056"/>
    <w:rsid w:val="000E73E4"/>
    <w:rsid w:val="000F0CC4"/>
    <w:rsid w:val="000F5B71"/>
    <w:rsid w:val="0010020C"/>
    <w:rsid w:val="00101020"/>
    <w:rsid w:val="00104726"/>
    <w:rsid w:val="0010494B"/>
    <w:rsid w:val="0010568F"/>
    <w:rsid w:val="0011611D"/>
    <w:rsid w:val="001163FF"/>
    <w:rsid w:val="00116DFF"/>
    <w:rsid w:val="0011717E"/>
    <w:rsid w:val="001209BC"/>
    <w:rsid w:val="00121BA8"/>
    <w:rsid w:val="0012390A"/>
    <w:rsid w:val="00124651"/>
    <w:rsid w:val="00124E7F"/>
    <w:rsid w:val="001306A8"/>
    <w:rsid w:val="00132A9C"/>
    <w:rsid w:val="00132C13"/>
    <w:rsid w:val="00136A0F"/>
    <w:rsid w:val="001379C1"/>
    <w:rsid w:val="00141249"/>
    <w:rsid w:val="001415B2"/>
    <w:rsid w:val="00141B50"/>
    <w:rsid w:val="00143489"/>
    <w:rsid w:val="001436D5"/>
    <w:rsid w:val="00146D78"/>
    <w:rsid w:val="00155AA5"/>
    <w:rsid w:val="00162DA0"/>
    <w:rsid w:val="00163000"/>
    <w:rsid w:val="001631C3"/>
    <w:rsid w:val="00164735"/>
    <w:rsid w:val="00164CD0"/>
    <w:rsid w:val="00165DD2"/>
    <w:rsid w:val="001724FA"/>
    <w:rsid w:val="00172C4E"/>
    <w:rsid w:val="0017305F"/>
    <w:rsid w:val="001732FC"/>
    <w:rsid w:val="0017413A"/>
    <w:rsid w:val="001776D8"/>
    <w:rsid w:val="00181E0E"/>
    <w:rsid w:val="00183547"/>
    <w:rsid w:val="001863B0"/>
    <w:rsid w:val="0019078F"/>
    <w:rsid w:val="001907D7"/>
    <w:rsid w:val="001908FC"/>
    <w:rsid w:val="00191B51"/>
    <w:rsid w:val="00195DDD"/>
    <w:rsid w:val="001B1DC2"/>
    <w:rsid w:val="001B4926"/>
    <w:rsid w:val="001B5FEF"/>
    <w:rsid w:val="001B7B9C"/>
    <w:rsid w:val="001C0D90"/>
    <w:rsid w:val="001C0DE7"/>
    <w:rsid w:val="001C2E9D"/>
    <w:rsid w:val="001C3E4C"/>
    <w:rsid w:val="001C452E"/>
    <w:rsid w:val="001C6784"/>
    <w:rsid w:val="001C71F0"/>
    <w:rsid w:val="001D01E2"/>
    <w:rsid w:val="001D1E87"/>
    <w:rsid w:val="001D2D05"/>
    <w:rsid w:val="001D3BF0"/>
    <w:rsid w:val="001D521D"/>
    <w:rsid w:val="001D7FD7"/>
    <w:rsid w:val="001E1B60"/>
    <w:rsid w:val="001E3DDD"/>
    <w:rsid w:val="001E5803"/>
    <w:rsid w:val="001E6A5A"/>
    <w:rsid w:val="001E741B"/>
    <w:rsid w:val="001F6273"/>
    <w:rsid w:val="0020466C"/>
    <w:rsid w:val="00205E29"/>
    <w:rsid w:val="00207B16"/>
    <w:rsid w:val="0021356E"/>
    <w:rsid w:val="00215654"/>
    <w:rsid w:val="00220776"/>
    <w:rsid w:val="00220FC1"/>
    <w:rsid w:val="0023306C"/>
    <w:rsid w:val="00235327"/>
    <w:rsid w:val="00235F44"/>
    <w:rsid w:val="00242954"/>
    <w:rsid w:val="00242BC8"/>
    <w:rsid w:val="00245034"/>
    <w:rsid w:val="0024528A"/>
    <w:rsid w:val="002475DE"/>
    <w:rsid w:val="00255374"/>
    <w:rsid w:val="00262FD8"/>
    <w:rsid w:val="00264534"/>
    <w:rsid w:val="002655A7"/>
    <w:rsid w:val="00265980"/>
    <w:rsid w:val="00265E6A"/>
    <w:rsid w:val="002660D4"/>
    <w:rsid w:val="00281A02"/>
    <w:rsid w:val="0028356E"/>
    <w:rsid w:val="00284599"/>
    <w:rsid w:val="0028571D"/>
    <w:rsid w:val="002907F9"/>
    <w:rsid w:val="00290B33"/>
    <w:rsid w:val="00291A9E"/>
    <w:rsid w:val="00294755"/>
    <w:rsid w:val="00297943"/>
    <w:rsid w:val="002A13A9"/>
    <w:rsid w:val="002A34F1"/>
    <w:rsid w:val="002B0C1E"/>
    <w:rsid w:val="002B4DA8"/>
    <w:rsid w:val="002C016B"/>
    <w:rsid w:val="002C533F"/>
    <w:rsid w:val="002C69D4"/>
    <w:rsid w:val="002D0C13"/>
    <w:rsid w:val="002D0DB5"/>
    <w:rsid w:val="002D645B"/>
    <w:rsid w:val="002E2407"/>
    <w:rsid w:val="002E3A18"/>
    <w:rsid w:val="002E57CC"/>
    <w:rsid w:val="002F129F"/>
    <w:rsid w:val="002F5516"/>
    <w:rsid w:val="003025C0"/>
    <w:rsid w:val="003045C3"/>
    <w:rsid w:val="0030648E"/>
    <w:rsid w:val="00323733"/>
    <w:rsid w:val="00325E5D"/>
    <w:rsid w:val="003318B1"/>
    <w:rsid w:val="00331C9F"/>
    <w:rsid w:val="00342EE0"/>
    <w:rsid w:val="0034511D"/>
    <w:rsid w:val="0034616D"/>
    <w:rsid w:val="00346BAD"/>
    <w:rsid w:val="00347008"/>
    <w:rsid w:val="00351B73"/>
    <w:rsid w:val="003524E4"/>
    <w:rsid w:val="00355C12"/>
    <w:rsid w:val="003562B1"/>
    <w:rsid w:val="00357832"/>
    <w:rsid w:val="003604B7"/>
    <w:rsid w:val="00363D7C"/>
    <w:rsid w:val="00371FDD"/>
    <w:rsid w:val="00372A2E"/>
    <w:rsid w:val="003759C6"/>
    <w:rsid w:val="0037763B"/>
    <w:rsid w:val="00381BF3"/>
    <w:rsid w:val="00384EC6"/>
    <w:rsid w:val="00385D9C"/>
    <w:rsid w:val="003874FB"/>
    <w:rsid w:val="0039167E"/>
    <w:rsid w:val="00396872"/>
    <w:rsid w:val="003A21B0"/>
    <w:rsid w:val="003A33D8"/>
    <w:rsid w:val="003A733D"/>
    <w:rsid w:val="003A7E03"/>
    <w:rsid w:val="003C0174"/>
    <w:rsid w:val="003C60A8"/>
    <w:rsid w:val="003C7A1B"/>
    <w:rsid w:val="003D01FA"/>
    <w:rsid w:val="003D18D6"/>
    <w:rsid w:val="003D1FA0"/>
    <w:rsid w:val="003D25A7"/>
    <w:rsid w:val="003D6FC2"/>
    <w:rsid w:val="003E1E02"/>
    <w:rsid w:val="003E7A41"/>
    <w:rsid w:val="003F1596"/>
    <w:rsid w:val="003F2437"/>
    <w:rsid w:val="003F41C0"/>
    <w:rsid w:val="004001EC"/>
    <w:rsid w:val="00402F5C"/>
    <w:rsid w:val="00413C59"/>
    <w:rsid w:val="00415E47"/>
    <w:rsid w:val="004339ED"/>
    <w:rsid w:val="00434855"/>
    <w:rsid w:val="0043646E"/>
    <w:rsid w:val="00440F26"/>
    <w:rsid w:val="00441081"/>
    <w:rsid w:val="00442895"/>
    <w:rsid w:val="00443C29"/>
    <w:rsid w:val="00446C71"/>
    <w:rsid w:val="00450A16"/>
    <w:rsid w:val="004533BC"/>
    <w:rsid w:val="00453970"/>
    <w:rsid w:val="00454130"/>
    <w:rsid w:val="00454AD6"/>
    <w:rsid w:val="00454FC9"/>
    <w:rsid w:val="0045705D"/>
    <w:rsid w:val="0046248A"/>
    <w:rsid w:val="00464066"/>
    <w:rsid w:val="00464C5F"/>
    <w:rsid w:val="00465916"/>
    <w:rsid w:val="00473535"/>
    <w:rsid w:val="00474FA1"/>
    <w:rsid w:val="0048282F"/>
    <w:rsid w:val="00483C40"/>
    <w:rsid w:val="00483F46"/>
    <w:rsid w:val="004843DC"/>
    <w:rsid w:val="00485C87"/>
    <w:rsid w:val="00486865"/>
    <w:rsid w:val="00495E3E"/>
    <w:rsid w:val="004A1563"/>
    <w:rsid w:val="004A1790"/>
    <w:rsid w:val="004B20C3"/>
    <w:rsid w:val="004B53B6"/>
    <w:rsid w:val="004C1BF7"/>
    <w:rsid w:val="004C3B08"/>
    <w:rsid w:val="004C74D0"/>
    <w:rsid w:val="004D2439"/>
    <w:rsid w:val="004D2808"/>
    <w:rsid w:val="004D6AA1"/>
    <w:rsid w:val="004D7EB3"/>
    <w:rsid w:val="004E07CA"/>
    <w:rsid w:val="004E1480"/>
    <w:rsid w:val="004E27D8"/>
    <w:rsid w:val="004E4008"/>
    <w:rsid w:val="004E7CE9"/>
    <w:rsid w:val="004F07D0"/>
    <w:rsid w:val="004F31FF"/>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0E63"/>
    <w:rsid w:val="00543046"/>
    <w:rsid w:val="00545B0C"/>
    <w:rsid w:val="00546FE4"/>
    <w:rsid w:val="0054723E"/>
    <w:rsid w:val="005472CD"/>
    <w:rsid w:val="00551A21"/>
    <w:rsid w:val="005559BB"/>
    <w:rsid w:val="00556394"/>
    <w:rsid w:val="00556ABB"/>
    <w:rsid w:val="00562642"/>
    <w:rsid w:val="005711F6"/>
    <w:rsid w:val="005712A5"/>
    <w:rsid w:val="00571C32"/>
    <w:rsid w:val="0057427F"/>
    <w:rsid w:val="00574BA9"/>
    <w:rsid w:val="00576E7D"/>
    <w:rsid w:val="00582801"/>
    <w:rsid w:val="00587630"/>
    <w:rsid w:val="0059072E"/>
    <w:rsid w:val="00590F79"/>
    <w:rsid w:val="00591332"/>
    <w:rsid w:val="00592642"/>
    <w:rsid w:val="005927D0"/>
    <w:rsid w:val="00595DAB"/>
    <w:rsid w:val="005A01AA"/>
    <w:rsid w:val="005A073A"/>
    <w:rsid w:val="005A3EB2"/>
    <w:rsid w:val="005A4B30"/>
    <w:rsid w:val="005A697A"/>
    <w:rsid w:val="005B13AD"/>
    <w:rsid w:val="005B3C11"/>
    <w:rsid w:val="005B3D0E"/>
    <w:rsid w:val="005C4E8D"/>
    <w:rsid w:val="005D08CC"/>
    <w:rsid w:val="005D55B7"/>
    <w:rsid w:val="005E3DFC"/>
    <w:rsid w:val="005E727C"/>
    <w:rsid w:val="005F5A29"/>
    <w:rsid w:val="0060013E"/>
    <w:rsid w:val="0060348A"/>
    <w:rsid w:val="00612E2E"/>
    <w:rsid w:val="00613931"/>
    <w:rsid w:val="00613AF7"/>
    <w:rsid w:val="00613E51"/>
    <w:rsid w:val="006152BF"/>
    <w:rsid w:val="00617E89"/>
    <w:rsid w:val="006243E6"/>
    <w:rsid w:val="00624DAA"/>
    <w:rsid w:val="006313F6"/>
    <w:rsid w:val="00631E59"/>
    <w:rsid w:val="0063372F"/>
    <w:rsid w:val="00635B13"/>
    <w:rsid w:val="00641EF4"/>
    <w:rsid w:val="006420B5"/>
    <w:rsid w:val="00642134"/>
    <w:rsid w:val="00643AF8"/>
    <w:rsid w:val="00645189"/>
    <w:rsid w:val="0064578A"/>
    <w:rsid w:val="00646CD9"/>
    <w:rsid w:val="006509CA"/>
    <w:rsid w:val="0065254C"/>
    <w:rsid w:val="00657384"/>
    <w:rsid w:val="00657D6A"/>
    <w:rsid w:val="00665C1C"/>
    <w:rsid w:val="00667362"/>
    <w:rsid w:val="006714F3"/>
    <w:rsid w:val="00672921"/>
    <w:rsid w:val="006737EF"/>
    <w:rsid w:val="0068197B"/>
    <w:rsid w:val="00683B8D"/>
    <w:rsid w:val="00684220"/>
    <w:rsid w:val="00685018"/>
    <w:rsid w:val="00685AC1"/>
    <w:rsid w:val="006902C8"/>
    <w:rsid w:val="00691DC6"/>
    <w:rsid w:val="00692321"/>
    <w:rsid w:val="00693AC1"/>
    <w:rsid w:val="00694955"/>
    <w:rsid w:val="00694EAC"/>
    <w:rsid w:val="006A3143"/>
    <w:rsid w:val="006A5561"/>
    <w:rsid w:val="006A566A"/>
    <w:rsid w:val="006A61D9"/>
    <w:rsid w:val="006B2C0F"/>
    <w:rsid w:val="006B5D61"/>
    <w:rsid w:val="006B632F"/>
    <w:rsid w:val="006B734B"/>
    <w:rsid w:val="006B76E6"/>
    <w:rsid w:val="006C3BBA"/>
    <w:rsid w:val="006C6EE4"/>
    <w:rsid w:val="006C76BE"/>
    <w:rsid w:val="006D0BEC"/>
    <w:rsid w:val="006D6502"/>
    <w:rsid w:val="006E07F8"/>
    <w:rsid w:val="006E1543"/>
    <w:rsid w:val="006E1D74"/>
    <w:rsid w:val="006E6A93"/>
    <w:rsid w:val="006F0B17"/>
    <w:rsid w:val="006F139D"/>
    <w:rsid w:val="006F3F14"/>
    <w:rsid w:val="006F47E0"/>
    <w:rsid w:val="006F5811"/>
    <w:rsid w:val="007008BB"/>
    <w:rsid w:val="00701070"/>
    <w:rsid w:val="00701231"/>
    <w:rsid w:val="0070221C"/>
    <w:rsid w:val="00702D28"/>
    <w:rsid w:val="0070429B"/>
    <w:rsid w:val="00704A6C"/>
    <w:rsid w:val="00705BBF"/>
    <w:rsid w:val="00712152"/>
    <w:rsid w:val="00713320"/>
    <w:rsid w:val="00714749"/>
    <w:rsid w:val="00721603"/>
    <w:rsid w:val="00724726"/>
    <w:rsid w:val="00732073"/>
    <w:rsid w:val="00732662"/>
    <w:rsid w:val="00735512"/>
    <w:rsid w:val="00736BFE"/>
    <w:rsid w:val="00741A1E"/>
    <w:rsid w:val="00744A84"/>
    <w:rsid w:val="00745E70"/>
    <w:rsid w:val="00747799"/>
    <w:rsid w:val="007527DA"/>
    <w:rsid w:val="00756497"/>
    <w:rsid w:val="007606BC"/>
    <w:rsid w:val="00763A00"/>
    <w:rsid w:val="00764C00"/>
    <w:rsid w:val="00766E6F"/>
    <w:rsid w:val="00771B53"/>
    <w:rsid w:val="00773336"/>
    <w:rsid w:val="007744AA"/>
    <w:rsid w:val="007808AE"/>
    <w:rsid w:val="00783498"/>
    <w:rsid w:val="0078372B"/>
    <w:rsid w:val="00786AE7"/>
    <w:rsid w:val="00790F89"/>
    <w:rsid w:val="0079660C"/>
    <w:rsid w:val="0079766A"/>
    <w:rsid w:val="007A33E7"/>
    <w:rsid w:val="007A4BF4"/>
    <w:rsid w:val="007A78E2"/>
    <w:rsid w:val="007B25AE"/>
    <w:rsid w:val="007B2927"/>
    <w:rsid w:val="007B62C5"/>
    <w:rsid w:val="007B6F1D"/>
    <w:rsid w:val="007C2B06"/>
    <w:rsid w:val="007C4A2C"/>
    <w:rsid w:val="007C5427"/>
    <w:rsid w:val="007C6583"/>
    <w:rsid w:val="007D14A3"/>
    <w:rsid w:val="007D2482"/>
    <w:rsid w:val="007D7965"/>
    <w:rsid w:val="007E0190"/>
    <w:rsid w:val="007E15F7"/>
    <w:rsid w:val="007E26EE"/>
    <w:rsid w:val="007E42F5"/>
    <w:rsid w:val="007E5B85"/>
    <w:rsid w:val="007F0CAB"/>
    <w:rsid w:val="007F25A8"/>
    <w:rsid w:val="007F3DE0"/>
    <w:rsid w:val="007F4D4E"/>
    <w:rsid w:val="00803BE4"/>
    <w:rsid w:val="00804838"/>
    <w:rsid w:val="00810C89"/>
    <w:rsid w:val="008140F0"/>
    <w:rsid w:val="00815E06"/>
    <w:rsid w:val="008165B1"/>
    <w:rsid w:val="008168EA"/>
    <w:rsid w:val="00823DDE"/>
    <w:rsid w:val="0082543F"/>
    <w:rsid w:val="00825E7F"/>
    <w:rsid w:val="008306F9"/>
    <w:rsid w:val="00832263"/>
    <w:rsid w:val="00832491"/>
    <w:rsid w:val="00832617"/>
    <w:rsid w:val="0083360F"/>
    <w:rsid w:val="00835461"/>
    <w:rsid w:val="008373B3"/>
    <w:rsid w:val="008407B0"/>
    <w:rsid w:val="00841B0C"/>
    <w:rsid w:val="008434E6"/>
    <w:rsid w:val="00845408"/>
    <w:rsid w:val="00845BF1"/>
    <w:rsid w:val="00846F63"/>
    <w:rsid w:val="00847297"/>
    <w:rsid w:val="00847E0D"/>
    <w:rsid w:val="0085074D"/>
    <w:rsid w:val="0085669C"/>
    <w:rsid w:val="008613A6"/>
    <w:rsid w:val="00862650"/>
    <w:rsid w:val="00864A86"/>
    <w:rsid w:val="00866352"/>
    <w:rsid w:val="008701AE"/>
    <w:rsid w:val="0087091C"/>
    <w:rsid w:val="0087300F"/>
    <w:rsid w:val="008734A3"/>
    <w:rsid w:val="00874140"/>
    <w:rsid w:val="0087588C"/>
    <w:rsid w:val="00884BE1"/>
    <w:rsid w:val="00885A30"/>
    <w:rsid w:val="008871B4"/>
    <w:rsid w:val="008901DD"/>
    <w:rsid w:val="00891BA1"/>
    <w:rsid w:val="00895CAE"/>
    <w:rsid w:val="008A239B"/>
    <w:rsid w:val="008A3ECD"/>
    <w:rsid w:val="008A4CCA"/>
    <w:rsid w:val="008A5788"/>
    <w:rsid w:val="008B0B1F"/>
    <w:rsid w:val="008B1EF1"/>
    <w:rsid w:val="008B3944"/>
    <w:rsid w:val="008B4143"/>
    <w:rsid w:val="008B56A8"/>
    <w:rsid w:val="008B6C11"/>
    <w:rsid w:val="008C28EC"/>
    <w:rsid w:val="008C4769"/>
    <w:rsid w:val="008C47A5"/>
    <w:rsid w:val="008C5FCE"/>
    <w:rsid w:val="008D0875"/>
    <w:rsid w:val="008D225F"/>
    <w:rsid w:val="008D452C"/>
    <w:rsid w:val="008D5D3F"/>
    <w:rsid w:val="008D6F52"/>
    <w:rsid w:val="008E2A0B"/>
    <w:rsid w:val="008E3B8B"/>
    <w:rsid w:val="008E48A2"/>
    <w:rsid w:val="008F0B37"/>
    <w:rsid w:val="008F2ADB"/>
    <w:rsid w:val="008F5848"/>
    <w:rsid w:val="008F79C2"/>
    <w:rsid w:val="00904EBB"/>
    <w:rsid w:val="00906561"/>
    <w:rsid w:val="00914AB0"/>
    <w:rsid w:val="009158E9"/>
    <w:rsid w:val="00921FDE"/>
    <w:rsid w:val="009240DB"/>
    <w:rsid w:val="009241E4"/>
    <w:rsid w:val="00926B22"/>
    <w:rsid w:val="009308C5"/>
    <w:rsid w:val="00930E21"/>
    <w:rsid w:val="0093685E"/>
    <w:rsid w:val="00943C88"/>
    <w:rsid w:val="0094537E"/>
    <w:rsid w:val="00947FFE"/>
    <w:rsid w:val="0095135F"/>
    <w:rsid w:val="00952BBA"/>
    <w:rsid w:val="009559E9"/>
    <w:rsid w:val="009566E5"/>
    <w:rsid w:val="00966B10"/>
    <w:rsid w:val="00967F62"/>
    <w:rsid w:val="00972C29"/>
    <w:rsid w:val="00974EE4"/>
    <w:rsid w:val="00976721"/>
    <w:rsid w:val="00977547"/>
    <w:rsid w:val="009778C2"/>
    <w:rsid w:val="00977DF8"/>
    <w:rsid w:val="00980C3B"/>
    <w:rsid w:val="00981646"/>
    <w:rsid w:val="00981E1A"/>
    <w:rsid w:val="009829A3"/>
    <w:rsid w:val="00986837"/>
    <w:rsid w:val="00990540"/>
    <w:rsid w:val="009942A8"/>
    <w:rsid w:val="009966C2"/>
    <w:rsid w:val="0099699A"/>
    <w:rsid w:val="0099770F"/>
    <w:rsid w:val="009A2C45"/>
    <w:rsid w:val="009B0C38"/>
    <w:rsid w:val="009B135F"/>
    <w:rsid w:val="009B7EEB"/>
    <w:rsid w:val="009B7FA8"/>
    <w:rsid w:val="009C444E"/>
    <w:rsid w:val="009D172C"/>
    <w:rsid w:val="009D4B26"/>
    <w:rsid w:val="009E1E0A"/>
    <w:rsid w:val="009E3CB3"/>
    <w:rsid w:val="009E4B15"/>
    <w:rsid w:val="009E5D98"/>
    <w:rsid w:val="009E626C"/>
    <w:rsid w:val="009F1C1F"/>
    <w:rsid w:val="009F323F"/>
    <w:rsid w:val="009F3520"/>
    <w:rsid w:val="00A04281"/>
    <w:rsid w:val="00A057BA"/>
    <w:rsid w:val="00A07BA9"/>
    <w:rsid w:val="00A105E4"/>
    <w:rsid w:val="00A14DBF"/>
    <w:rsid w:val="00A1574A"/>
    <w:rsid w:val="00A15D0E"/>
    <w:rsid w:val="00A17476"/>
    <w:rsid w:val="00A26B4F"/>
    <w:rsid w:val="00A2720E"/>
    <w:rsid w:val="00A30324"/>
    <w:rsid w:val="00A30E12"/>
    <w:rsid w:val="00A42087"/>
    <w:rsid w:val="00A4253D"/>
    <w:rsid w:val="00A45E8D"/>
    <w:rsid w:val="00A462C5"/>
    <w:rsid w:val="00A50B57"/>
    <w:rsid w:val="00A526FE"/>
    <w:rsid w:val="00A53E98"/>
    <w:rsid w:val="00A600FB"/>
    <w:rsid w:val="00A62A30"/>
    <w:rsid w:val="00A6607D"/>
    <w:rsid w:val="00A675E8"/>
    <w:rsid w:val="00A72480"/>
    <w:rsid w:val="00A73368"/>
    <w:rsid w:val="00A83C07"/>
    <w:rsid w:val="00A83DBE"/>
    <w:rsid w:val="00A86FB2"/>
    <w:rsid w:val="00A92376"/>
    <w:rsid w:val="00AB53A9"/>
    <w:rsid w:val="00AC2C8D"/>
    <w:rsid w:val="00AC62AD"/>
    <w:rsid w:val="00AC6AF7"/>
    <w:rsid w:val="00AD262B"/>
    <w:rsid w:val="00AD2EBC"/>
    <w:rsid w:val="00AD4881"/>
    <w:rsid w:val="00AD52A6"/>
    <w:rsid w:val="00AD6935"/>
    <w:rsid w:val="00AD7891"/>
    <w:rsid w:val="00AE4668"/>
    <w:rsid w:val="00AF3957"/>
    <w:rsid w:val="00AF414E"/>
    <w:rsid w:val="00AF4888"/>
    <w:rsid w:val="00B009B8"/>
    <w:rsid w:val="00B01341"/>
    <w:rsid w:val="00B01DFA"/>
    <w:rsid w:val="00B057CC"/>
    <w:rsid w:val="00B0735E"/>
    <w:rsid w:val="00B103B4"/>
    <w:rsid w:val="00B11EBE"/>
    <w:rsid w:val="00B13424"/>
    <w:rsid w:val="00B330F2"/>
    <w:rsid w:val="00B332F5"/>
    <w:rsid w:val="00B34236"/>
    <w:rsid w:val="00B35A51"/>
    <w:rsid w:val="00B35E4D"/>
    <w:rsid w:val="00B36508"/>
    <w:rsid w:val="00B40CC5"/>
    <w:rsid w:val="00B4371D"/>
    <w:rsid w:val="00B54A9F"/>
    <w:rsid w:val="00B5656E"/>
    <w:rsid w:val="00B571E7"/>
    <w:rsid w:val="00B57942"/>
    <w:rsid w:val="00B6035D"/>
    <w:rsid w:val="00B614E0"/>
    <w:rsid w:val="00B61CC2"/>
    <w:rsid w:val="00B737EB"/>
    <w:rsid w:val="00B73EAE"/>
    <w:rsid w:val="00B849BD"/>
    <w:rsid w:val="00B84DF7"/>
    <w:rsid w:val="00B871E0"/>
    <w:rsid w:val="00B91CB0"/>
    <w:rsid w:val="00B91FC0"/>
    <w:rsid w:val="00BA163E"/>
    <w:rsid w:val="00BA1B5F"/>
    <w:rsid w:val="00BA4863"/>
    <w:rsid w:val="00BB3524"/>
    <w:rsid w:val="00BB6310"/>
    <w:rsid w:val="00BC775C"/>
    <w:rsid w:val="00BD0002"/>
    <w:rsid w:val="00BD0D6C"/>
    <w:rsid w:val="00BD2198"/>
    <w:rsid w:val="00BE2CAB"/>
    <w:rsid w:val="00BE73FA"/>
    <w:rsid w:val="00BF115F"/>
    <w:rsid w:val="00BF409B"/>
    <w:rsid w:val="00BF7416"/>
    <w:rsid w:val="00C0062B"/>
    <w:rsid w:val="00C06EA3"/>
    <w:rsid w:val="00C1588C"/>
    <w:rsid w:val="00C1609F"/>
    <w:rsid w:val="00C17C76"/>
    <w:rsid w:val="00C17DF4"/>
    <w:rsid w:val="00C20BB0"/>
    <w:rsid w:val="00C21CB6"/>
    <w:rsid w:val="00C2341B"/>
    <w:rsid w:val="00C3104C"/>
    <w:rsid w:val="00C36725"/>
    <w:rsid w:val="00C36EFA"/>
    <w:rsid w:val="00C412EE"/>
    <w:rsid w:val="00C41D41"/>
    <w:rsid w:val="00C446DA"/>
    <w:rsid w:val="00C5137D"/>
    <w:rsid w:val="00C553D2"/>
    <w:rsid w:val="00C554B4"/>
    <w:rsid w:val="00C61290"/>
    <w:rsid w:val="00C62B54"/>
    <w:rsid w:val="00C6707F"/>
    <w:rsid w:val="00C67151"/>
    <w:rsid w:val="00C70BAF"/>
    <w:rsid w:val="00C75B22"/>
    <w:rsid w:val="00C80904"/>
    <w:rsid w:val="00C82EC2"/>
    <w:rsid w:val="00C851E8"/>
    <w:rsid w:val="00C8594E"/>
    <w:rsid w:val="00C85ABC"/>
    <w:rsid w:val="00C90F25"/>
    <w:rsid w:val="00C9156C"/>
    <w:rsid w:val="00C92932"/>
    <w:rsid w:val="00C9410C"/>
    <w:rsid w:val="00C94219"/>
    <w:rsid w:val="00C955C6"/>
    <w:rsid w:val="00C978E4"/>
    <w:rsid w:val="00CA68E2"/>
    <w:rsid w:val="00CA6964"/>
    <w:rsid w:val="00CA6CCB"/>
    <w:rsid w:val="00CA7CB8"/>
    <w:rsid w:val="00CB6B55"/>
    <w:rsid w:val="00CB75B9"/>
    <w:rsid w:val="00CC0792"/>
    <w:rsid w:val="00CC0FDF"/>
    <w:rsid w:val="00CC5C28"/>
    <w:rsid w:val="00CC5D0C"/>
    <w:rsid w:val="00CC736B"/>
    <w:rsid w:val="00CC74B6"/>
    <w:rsid w:val="00CD0C9B"/>
    <w:rsid w:val="00CD1028"/>
    <w:rsid w:val="00CD3D54"/>
    <w:rsid w:val="00CD45BC"/>
    <w:rsid w:val="00CD7C32"/>
    <w:rsid w:val="00CE2C0D"/>
    <w:rsid w:val="00CE31E9"/>
    <w:rsid w:val="00CE3842"/>
    <w:rsid w:val="00CE67CB"/>
    <w:rsid w:val="00CF2B06"/>
    <w:rsid w:val="00CF413D"/>
    <w:rsid w:val="00CF6A0C"/>
    <w:rsid w:val="00CF7412"/>
    <w:rsid w:val="00D0493C"/>
    <w:rsid w:val="00D06095"/>
    <w:rsid w:val="00D079C6"/>
    <w:rsid w:val="00D07C73"/>
    <w:rsid w:val="00D15D3B"/>
    <w:rsid w:val="00D24263"/>
    <w:rsid w:val="00D24866"/>
    <w:rsid w:val="00D25B49"/>
    <w:rsid w:val="00D268CB"/>
    <w:rsid w:val="00D33706"/>
    <w:rsid w:val="00D33BDD"/>
    <w:rsid w:val="00D41348"/>
    <w:rsid w:val="00D42EFD"/>
    <w:rsid w:val="00D55377"/>
    <w:rsid w:val="00D5563A"/>
    <w:rsid w:val="00D5584D"/>
    <w:rsid w:val="00D57587"/>
    <w:rsid w:val="00D5774A"/>
    <w:rsid w:val="00D6159F"/>
    <w:rsid w:val="00D63C7B"/>
    <w:rsid w:val="00D66FA8"/>
    <w:rsid w:val="00D677D7"/>
    <w:rsid w:val="00D679F3"/>
    <w:rsid w:val="00D70575"/>
    <w:rsid w:val="00D7099A"/>
    <w:rsid w:val="00D734AF"/>
    <w:rsid w:val="00D804F4"/>
    <w:rsid w:val="00D80B4D"/>
    <w:rsid w:val="00D81E04"/>
    <w:rsid w:val="00D828DB"/>
    <w:rsid w:val="00D8370B"/>
    <w:rsid w:val="00D8573F"/>
    <w:rsid w:val="00D91953"/>
    <w:rsid w:val="00D951DB"/>
    <w:rsid w:val="00D96C88"/>
    <w:rsid w:val="00DA6599"/>
    <w:rsid w:val="00DB14AF"/>
    <w:rsid w:val="00DB1CDF"/>
    <w:rsid w:val="00DB798F"/>
    <w:rsid w:val="00DC315B"/>
    <w:rsid w:val="00DC4AD2"/>
    <w:rsid w:val="00DC6173"/>
    <w:rsid w:val="00DD0934"/>
    <w:rsid w:val="00DD4D74"/>
    <w:rsid w:val="00DF01A6"/>
    <w:rsid w:val="00DF4E15"/>
    <w:rsid w:val="00E022AD"/>
    <w:rsid w:val="00E029E6"/>
    <w:rsid w:val="00E03AAE"/>
    <w:rsid w:val="00E10963"/>
    <w:rsid w:val="00E1150C"/>
    <w:rsid w:val="00E1246A"/>
    <w:rsid w:val="00E150EE"/>
    <w:rsid w:val="00E168CD"/>
    <w:rsid w:val="00E21809"/>
    <w:rsid w:val="00E240A1"/>
    <w:rsid w:val="00E257AD"/>
    <w:rsid w:val="00E32087"/>
    <w:rsid w:val="00E3306F"/>
    <w:rsid w:val="00E34F09"/>
    <w:rsid w:val="00E36ED5"/>
    <w:rsid w:val="00E37166"/>
    <w:rsid w:val="00E418BA"/>
    <w:rsid w:val="00E419B2"/>
    <w:rsid w:val="00E42435"/>
    <w:rsid w:val="00E54CE8"/>
    <w:rsid w:val="00E5655F"/>
    <w:rsid w:val="00E56B43"/>
    <w:rsid w:val="00E571CD"/>
    <w:rsid w:val="00E6046C"/>
    <w:rsid w:val="00E60482"/>
    <w:rsid w:val="00E63F7A"/>
    <w:rsid w:val="00E72243"/>
    <w:rsid w:val="00E72303"/>
    <w:rsid w:val="00E75843"/>
    <w:rsid w:val="00E81AB1"/>
    <w:rsid w:val="00E82AAF"/>
    <w:rsid w:val="00E8510F"/>
    <w:rsid w:val="00E85D32"/>
    <w:rsid w:val="00E861F5"/>
    <w:rsid w:val="00E879BE"/>
    <w:rsid w:val="00E93E43"/>
    <w:rsid w:val="00E9508F"/>
    <w:rsid w:val="00EA0D1D"/>
    <w:rsid w:val="00EB1C4B"/>
    <w:rsid w:val="00EB2ADE"/>
    <w:rsid w:val="00EB3574"/>
    <w:rsid w:val="00EB5EE6"/>
    <w:rsid w:val="00EB6BA5"/>
    <w:rsid w:val="00EC0D0A"/>
    <w:rsid w:val="00EC54CD"/>
    <w:rsid w:val="00EC5825"/>
    <w:rsid w:val="00ED3BE0"/>
    <w:rsid w:val="00ED481D"/>
    <w:rsid w:val="00ED706E"/>
    <w:rsid w:val="00EF2A44"/>
    <w:rsid w:val="00EF404C"/>
    <w:rsid w:val="00EF6D5B"/>
    <w:rsid w:val="00F02160"/>
    <w:rsid w:val="00F0262F"/>
    <w:rsid w:val="00F10080"/>
    <w:rsid w:val="00F13551"/>
    <w:rsid w:val="00F13E43"/>
    <w:rsid w:val="00F2254B"/>
    <w:rsid w:val="00F25E6E"/>
    <w:rsid w:val="00F31846"/>
    <w:rsid w:val="00F32976"/>
    <w:rsid w:val="00F34653"/>
    <w:rsid w:val="00F374FF"/>
    <w:rsid w:val="00F37A93"/>
    <w:rsid w:val="00F4087E"/>
    <w:rsid w:val="00F45BE8"/>
    <w:rsid w:val="00F47812"/>
    <w:rsid w:val="00F54D6C"/>
    <w:rsid w:val="00F6084C"/>
    <w:rsid w:val="00F62301"/>
    <w:rsid w:val="00F6282D"/>
    <w:rsid w:val="00F62D5A"/>
    <w:rsid w:val="00F6439A"/>
    <w:rsid w:val="00F66100"/>
    <w:rsid w:val="00F703B2"/>
    <w:rsid w:val="00F70EFE"/>
    <w:rsid w:val="00F71B08"/>
    <w:rsid w:val="00F728DE"/>
    <w:rsid w:val="00F74522"/>
    <w:rsid w:val="00F755E9"/>
    <w:rsid w:val="00F77419"/>
    <w:rsid w:val="00F84163"/>
    <w:rsid w:val="00F845F6"/>
    <w:rsid w:val="00F8503D"/>
    <w:rsid w:val="00F87135"/>
    <w:rsid w:val="00F874A3"/>
    <w:rsid w:val="00F875C9"/>
    <w:rsid w:val="00F90831"/>
    <w:rsid w:val="00F90FE5"/>
    <w:rsid w:val="00F91D08"/>
    <w:rsid w:val="00F9510B"/>
    <w:rsid w:val="00F96995"/>
    <w:rsid w:val="00FA6342"/>
    <w:rsid w:val="00FA668B"/>
    <w:rsid w:val="00FB06F2"/>
    <w:rsid w:val="00FB23BD"/>
    <w:rsid w:val="00FB327F"/>
    <w:rsid w:val="00FB7050"/>
    <w:rsid w:val="00FC119D"/>
    <w:rsid w:val="00FC159E"/>
    <w:rsid w:val="00FC2015"/>
    <w:rsid w:val="00FC21E9"/>
    <w:rsid w:val="00FC24D8"/>
    <w:rsid w:val="00FC683F"/>
    <w:rsid w:val="00FC725F"/>
    <w:rsid w:val="00FC7B56"/>
    <w:rsid w:val="00FD26CB"/>
    <w:rsid w:val="00FE07CD"/>
    <w:rsid w:val="00FE1032"/>
    <w:rsid w:val="00FE3FB5"/>
    <w:rsid w:val="00FE7877"/>
    <w:rsid w:val="00FE7BEF"/>
    <w:rsid w:val="00FF1CA3"/>
    <w:rsid w:val="00FF46B7"/>
    <w:rsid w:val="00FF4A4E"/>
    <w:rsid w:val="00FF5905"/>
    <w:rsid w:val="00FF71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26DBDE2"/>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A30"/>
    <w:pPr>
      <w:jc w:val="both"/>
    </w:pPr>
    <w:rPr>
      <w:rFonts w:ascii="Cambria" w:eastAsia="Times New Roman" w:hAnsi="Cambria"/>
      <w:sz w:val="22"/>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A62A30"/>
    <w:pPr>
      <w:tabs>
        <w:tab w:val="left" w:pos="3525"/>
      </w:tabs>
      <w:jc w:val="left"/>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A62A30"/>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832263"/>
    <w:pPr>
      <w:numPr>
        <w:numId w:val="1"/>
      </w:numPr>
      <w:spacing w:before="0" w:line="259" w:lineRule="auto"/>
      <w:ind w:left="360"/>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semiHidden/>
    <w:unhideWhenUsed/>
    <w:rsid w:val="004C3B08"/>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aliases w:val="FOOTNOTES,single space,ft,Footnote Text 1,Footnote Text Char Char,Footnote Text Char Char Char,Footnote Text Char2 Char,Footnote Text Char1 Char Char,ALTS FOOTNOTE,Nbpage Moens,Fußnote,Footnote Text_1,Footnote Text Char1,fn"/>
    <w:basedOn w:val="Normal"/>
    <w:link w:val="FootnoteTextChar"/>
    <w:uiPriority w:val="99"/>
    <w:qFormat/>
    <w:rsid w:val="003524E4"/>
    <w:pPr>
      <w:spacing w:before="60"/>
    </w:pPr>
    <w:rPr>
      <w:rFonts w:eastAsia="Calibri" w:cs="Calibri"/>
      <w:sz w:val="20"/>
      <w:szCs w:val="20"/>
      <w:lang w:val="ru-RU"/>
    </w:rPr>
  </w:style>
  <w:style w:type="character" w:customStyle="1" w:styleId="FootnoteTextChar">
    <w:name w:val="Footnote Text Char"/>
    <w:aliases w:val="FOOTNOTES Char,single space Char,ft Char,Footnote Text 1 Char,Footnote Text Char Char Char1,Footnote Text Char Char Char Char,Footnote Text Char2 Char Char,Footnote Text Char1 Char Char Char,ALTS FOOTNOTE Char,Nbpage Moens Char"/>
    <w:basedOn w:val="DefaultParagraphFont"/>
    <w:link w:val="FootnoteText"/>
    <w:uiPriority w:val="99"/>
    <w:rsid w:val="003524E4"/>
    <w:rPr>
      <w:rFonts w:ascii="Cambria" w:hAnsi="Cambria" w:cs="Calibri"/>
      <w:lang w:val="ru-RU"/>
    </w:rPr>
  </w:style>
  <w:style w:type="character" w:styleId="FootnoteReference">
    <w:name w:val="footnote reference"/>
    <w:aliases w:val="16 Point,Superscript 6 Point,Superscript 6 Point + 11 pt,ftref,BVI fnr,Footnote Reference Number,Footnote Reference_LVL6,Footnote Reference_LVL61,Footnote Reference_LVL62,Footnote Reference_LVL63,Footnote Reference_LVL64,4_G"/>
    <w:basedOn w:val="DefaultParagraphFont"/>
    <w:link w:val="BVIfnrChar1CharCharCharCharChar"/>
    <w:uiPriority w:val="99"/>
    <w:qFormat/>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ind w:left="720"/>
      <w:contextualSpacing/>
      <w:jc w:val="left"/>
    </w:pPr>
    <w:rPr>
      <w:rFonts w:ascii="Calibri" w:eastAsia="Calibri" w:hAnsi="Calibri"/>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832263"/>
    <w:rPr>
      <w:rFonts w:ascii="Cambria" w:eastAsia="Times New Roman" w:hAnsi="Cambria"/>
      <w:sz w:val="22"/>
      <w:szCs w:val="22"/>
    </w:rPr>
  </w:style>
  <w:style w:type="paragraph" w:styleId="Revision">
    <w:name w:val="Revision"/>
    <w:hidden/>
    <w:uiPriority w:val="99"/>
    <w:semiHidden/>
    <w:rsid w:val="008168EA"/>
    <w:rPr>
      <w:rFonts w:ascii="Cambria" w:eastAsia="Times New Roman" w:hAnsi="Cambria"/>
      <w:sz w:val="22"/>
      <w:szCs w:val="22"/>
    </w:rPr>
  </w:style>
  <w:style w:type="paragraph" w:customStyle="1" w:styleId="paragraph">
    <w:name w:val="paragraph"/>
    <w:basedOn w:val="Normal"/>
    <w:rsid w:val="000903FE"/>
    <w:pPr>
      <w:spacing w:before="100" w:beforeAutospacing="1" w:after="100" w:afterAutospacing="1"/>
      <w:jc w:val="left"/>
    </w:pPr>
    <w:rPr>
      <w:rFonts w:ascii="Times New Roman" w:eastAsiaTheme="minorHAnsi" w:hAnsi="Times New Roman"/>
      <w:sz w:val="24"/>
      <w:szCs w:val="24"/>
    </w:rPr>
  </w:style>
  <w:style w:type="character" w:customStyle="1" w:styleId="normaltextrun">
    <w:name w:val="normaltextrun"/>
    <w:basedOn w:val="DefaultParagraphFont"/>
    <w:rsid w:val="000903FE"/>
  </w:style>
  <w:style w:type="character" w:customStyle="1" w:styleId="UnresolvedMention">
    <w:name w:val="Unresolved Mention"/>
    <w:basedOn w:val="DefaultParagraphFont"/>
    <w:uiPriority w:val="99"/>
    <w:semiHidden/>
    <w:unhideWhenUsed/>
    <w:rsid w:val="00CD0C9B"/>
    <w:rPr>
      <w:color w:val="605E5C"/>
      <w:shd w:val="clear" w:color="auto" w:fill="E1DFDD"/>
    </w:rPr>
  </w:style>
  <w:style w:type="character" w:customStyle="1" w:styleId="eop">
    <w:name w:val="eop"/>
    <w:basedOn w:val="DefaultParagraphFont"/>
    <w:rsid w:val="00CD0C9B"/>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CD0C9B"/>
    <w:pPr>
      <w:spacing w:after="160" w:line="240" w:lineRule="exact"/>
      <w:jc w:val="left"/>
    </w:pPr>
    <w:rPr>
      <w:rFonts w:ascii="Calibri" w:eastAsia="SimSun" w:hAnsi="Calibri"/>
      <w:sz w:val="20"/>
      <w:szCs w:val="20"/>
      <w:vertAlign w:val="superscript"/>
    </w:rPr>
  </w:style>
  <w:style w:type="paragraph" w:customStyle="1" w:styleId="Hoofdtekst">
    <w:name w:val="Hoofdtekst"/>
    <w:rsid w:val="00072809"/>
    <w:pPr>
      <w:pBdr>
        <w:top w:val="nil"/>
        <w:left w:val="nil"/>
        <w:bottom w:val="nil"/>
        <w:right w:val="nil"/>
        <w:between w:val="nil"/>
        <w:bar w:val="nil"/>
      </w:pBdr>
      <w:spacing w:after="160" w:line="259" w:lineRule="auto"/>
    </w:pPr>
    <w:rPr>
      <w:rFonts w:eastAsia="Calibri" w:cs="Calibri"/>
      <w:color w:val="000000"/>
      <w:sz w:val="22"/>
      <w:szCs w:val="22"/>
      <w:u w:color="000000"/>
      <w:bdr w:val="nil"/>
      <w:lang w:eastAsia="zh-CN"/>
    </w:rPr>
  </w:style>
  <w:style w:type="paragraph" w:styleId="BlockText">
    <w:name w:val="Block Text"/>
    <w:basedOn w:val="Normal"/>
    <w:uiPriority w:val="99"/>
    <w:unhideWhenUsed/>
    <w:rsid w:val="001C452E"/>
    <w:pPr>
      <w:spacing w:after="200" w:line="276" w:lineRule="auto"/>
      <w:ind w:left="-5" w:right="19"/>
    </w:pPr>
    <w:rPr>
      <w:rFonts w:asciiTheme="minorHAnsi" w:eastAsiaTheme="minorHAnsi" w:hAnsiTheme="minorHAnsi" w:cstheme="minorBidi"/>
      <w:b/>
      <w:bCs/>
    </w:rPr>
  </w:style>
  <w:style w:type="character" w:customStyle="1" w:styleId="StandardChar">
    <w:name w:val="Standard Char"/>
    <w:basedOn w:val="DefaultParagraphFont"/>
    <w:link w:val="Standard"/>
    <w:locked/>
    <w:rsid w:val="00FC119D"/>
    <w:rPr>
      <w:rFonts w:asciiTheme="minorHAnsi" w:hAnsiTheme="minorHAnsi" w:cstheme="minorHAnsi"/>
      <w:color w:val="000000" w:themeColor="text1"/>
      <w:sz w:val="22"/>
      <w:szCs w:val="22"/>
      <w:lang w:val="en-GB"/>
    </w:rPr>
  </w:style>
  <w:style w:type="paragraph" w:customStyle="1" w:styleId="Standard">
    <w:name w:val="Standard"/>
    <w:basedOn w:val="Normal"/>
    <w:link w:val="StandardChar"/>
    <w:qFormat/>
    <w:rsid w:val="00FC119D"/>
    <w:pPr>
      <w:keepLines/>
      <w:spacing w:after="240"/>
    </w:pPr>
    <w:rPr>
      <w:rFonts w:asciiTheme="minorHAnsi" w:eastAsia="SimSun" w:hAnsiTheme="minorHAnsi" w:cstheme="minorHAnsi"/>
      <w:color w:val="000000" w:themeColor="text1"/>
      <w:lang w:val="en-GB"/>
    </w:rPr>
  </w:style>
  <w:style w:type="character" w:customStyle="1" w:styleId="Standardpre-numrationChar">
    <w:name w:val="Standard pre-énumération Char"/>
    <w:basedOn w:val="StandardChar"/>
    <w:link w:val="Standardpre-numration"/>
    <w:locked/>
    <w:rsid w:val="00FC119D"/>
    <w:rPr>
      <w:rFonts w:asciiTheme="minorHAnsi" w:hAnsiTheme="minorHAnsi" w:cstheme="minorHAnsi"/>
      <w:color w:val="000000" w:themeColor="text1"/>
      <w:sz w:val="22"/>
      <w:szCs w:val="22"/>
      <w:lang w:val="en-GB" w:eastAsia="en-GB"/>
    </w:rPr>
  </w:style>
  <w:style w:type="paragraph" w:customStyle="1" w:styleId="Standardpre-numration">
    <w:name w:val="Standard pre-énumération"/>
    <w:basedOn w:val="Standard"/>
    <w:link w:val="Standardpre-numrationChar"/>
    <w:qFormat/>
    <w:rsid w:val="00FC119D"/>
    <w:rPr>
      <w:lang w:eastAsia="en-GB"/>
    </w:rPr>
  </w:style>
  <w:style w:type="paragraph" w:customStyle="1" w:styleId="Boulettespr-numration">
    <w:name w:val="Boulettes pré-énumération"/>
    <w:basedOn w:val="ListParagraph"/>
    <w:uiPriority w:val="99"/>
    <w:qFormat/>
    <w:rsid w:val="00FC119D"/>
    <w:pPr>
      <w:numPr>
        <w:numId w:val="0"/>
      </w:numPr>
      <w:shd w:val="clear" w:color="auto" w:fill="FFFFFF"/>
      <w:spacing w:line="240" w:lineRule="auto"/>
      <w:contextualSpacing/>
    </w:pPr>
    <w:rPr>
      <w:rFonts w:asciiTheme="minorHAnsi" w:eastAsia="Calibri" w:hAnsiTheme="minorHAnsi" w:cstheme="minorHAnsi"/>
      <w:color w:val="000000" w:themeColor="text1"/>
      <w:lang w:val="en-GB" w:eastAsia="en-GB"/>
    </w:rPr>
  </w:style>
  <w:style w:type="character" w:customStyle="1" w:styleId="ContextCar">
    <w:name w:val="Context Car"/>
    <w:basedOn w:val="ListParagraphChar"/>
    <w:link w:val="Context"/>
    <w:locked/>
    <w:rsid w:val="00FC119D"/>
    <w:rPr>
      <w:rFonts w:asciiTheme="minorHAnsi" w:eastAsia="Calibri" w:hAnsiTheme="minorHAnsi" w:cstheme="minorBidi"/>
      <w:color w:val="000000" w:themeColor="text1"/>
      <w:sz w:val="24"/>
      <w:szCs w:val="24"/>
      <w:shd w:val="clear" w:color="auto" w:fill="FFFFFF" w:themeFill="background1"/>
      <w:lang w:val="en-GB" w:eastAsia="en-GB"/>
    </w:rPr>
  </w:style>
  <w:style w:type="paragraph" w:customStyle="1" w:styleId="Context">
    <w:name w:val="Context"/>
    <w:basedOn w:val="ListParagraph"/>
    <w:link w:val="ContextCar"/>
    <w:qFormat/>
    <w:rsid w:val="00FC119D"/>
    <w:pPr>
      <w:keepNext/>
      <w:keepLines/>
      <w:numPr>
        <w:numId w:val="14"/>
      </w:numPr>
      <w:shd w:val="clear" w:color="auto" w:fill="FFFFFF" w:themeFill="background1"/>
      <w:spacing w:before="360" w:after="240" w:line="240" w:lineRule="auto"/>
      <w:outlineLvl w:val="1"/>
    </w:pPr>
    <w:rPr>
      <w:rFonts w:asciiTheme="minorHAnsi" w:eastAsia="Calibri" w:hAnsiTheme="minorHAnsi" w:cstheme="minorBidi"/>
      <w:color w:val="000000" w:themeColor="text1"/>
      <w:sz w:val="24"/>
      <w:szCs w:val="24"/>
      <w:lang w:val="en-GB" w:eastAsia="en-GB"/>
    </w:rPr>
  </w:style>
  <w:style w:type="character" w:customStyle="1" w:styleId="QuestionsCar">
    <w:name w:val="Questions Car"/>
    <w:basedOn w:val="DefaultParagraphFont"/>
    <w:link w:val="Questions"/>
    <w:locked/>
    <w:rsid w:val="00FC119D"/>
    <w:rPr>
      <w:rFonts w:asciiTheme="minorHAnsi" w:hAnsiTheme="minorHAnsi" w:cstheme="minorHAnsi"/>
      <w:color w:val="000000" w:themeColor="text1"/>
      <w:sz w:val="22"/>
      <w:szCs w:val="24"/>
      <w:lang w:val="en-GB" w:eastAsia="en-GB"/>
    </w:rPr>
  </w:style>
  <w:style w:type="paragraph" w:customStyle="1" w:styleId="Questions">
    <w:name w:val="Questions"/>
    <w:basedOn w:val="Normal"/>
    <w:link w:val="QuestionsCar"/>
    <w:qFormat/>
    <w:rsid w:val="00FC119D"/>
    <w:pPr>
      <w:keepLines/>
      <w:numPr>
        <w:ilvl w:val="1"/>
        <w:numId w:val="11"/>
      </w:numPr>
      <w:autoSpaceDE w:val="0"/>
      <w:autoSpaceDN w:val="0"/>
      <w:adjustRightInd w:val="0"/>
      <w:spacing w:before="120" w:after="60"/>
    </w:pPr>
    <w:rPr>
      <w:rFonts w:asciiTheme="minorHAnsi" w:eastAsia="SimSun" w:hAnsiTheme="minorHAnsi" w:cstheme="minorHAnsi"/>
      <w:color w:val="000000" w:themeColor="text1"/>
      <w:szCs w:val="24"/>
      <w:lang w:val="en-GB" w:eastAsia="en-GB"/>
    </w:rPr>
  </w:style>
  <w:style w:type="paragraph" w:customStyle="1" w:styleId="Boulettes">
    <w:name w:val="Boulettes"/>
    <w:basedOn w:val="Boulettespr-numration"/>
    <w:link w:val="BoulettesChar"/>
    <w:uiPriority w:val="99"/>
    <w:qFormat/>
    <w:rsid w:val="00FC119D"/>
    <w:pPr>
      <w:keepLines/>
      <w:spacing w:after="120"/>
      <w:ind w:left="1775" w:hanging="357"/>
    </w:pPr>
  </w:style>
  <w:style w:type="character" w:customStyle="1" w:styleId="BoulettesChar">
    <w:name w:val="Boulettes Char"/>
    <w:basedOn w:val="DefaultParagraphFont"/>
    <w:link w:val="Boulettes"/>
    <w:uiPriority w:val="99"/>
    <w:locked/>
    <w:rsid w:val="00FC119D"/>
    <w:rPr>
      <w:rFonts w:asciiTheme="minorHAnsi" w:eastAsia="Calibri" w:hAnsiTheme="minorHAnsi" w:cstheme="minorHAnsi"/>
      <w:color w:val="000000" w:themeColor="text1"/>
      <w:sz w:val="22"/>
      <w:szCs w:val="22"/>
      <w:shd w:val="clear" w:color="auto" w:fill="FFFFF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0848">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9952067">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54305514">
      <w:bodyDiv w:val="1"/>
      <w:marLeft w:val="0"/>
      <w:marRight w:val="0"/>
      <w:marTop w:val="0"/>
      <w:marBottom w:val="0"/>
      <w:divBdr>
        <w:top w:val="none" w:sz="0" w:space="0" w:color="auto"/>
        <w:left w:val="none" w:sz="0" w:space="0" w:color="auto"/>
        <w:bottom w:val="none" w:sz="0" w:space="0" w:color="auto"/>
        <w:right w:val="none" w:sz="0" w:space="0" w:color="auto"/>
      </w:divBdr>
    </w:div>
    <w:div w:id="367535234">
      <w:bodyDiv w:val="1"/>
      <w:marLeft w:val="0"/>
      <w:marRight w:val="0"/>
      <w:marTop w:val="0"/>
      <w:marBottom w:val="0"/>
      <w:divBdr>
        <w:top w:val="none" w:sz="0" w:space="0" w:color="auto"/>
        <w:left w:val="none" w:sz="0" w:space="0" w:color="auto"/>
        <w:bottom w:val="none" w:sz="0" w:space="0" w:color="auto"/>
        <w:right w:val="none" w:sz="0" w:space="0" w:color="auto"/>
      </w:divBdr>
      <w:divsChild>
        <w:div w:id="904335835">
          <w:marLeft w:val="0"/>
          <w:marRight w:val="0"/>
          <w:marTop w:val="0"/>
          <w:marBottom w:val="0"/>
          <w:divBdr>
            <w:top w:val="none" w:sz="0" w:space="0" w:color="auto"/>
            <w:left w:val="none" w:sz="0" w:space="0" w:color="auto"/>
            <w:bottom w:val="none" w:sz="0" w:space="0" w:color="auto"/>
            <w:right w:val="none" w:sz="0" w:space="0" w:color="auto"/>
          </w:divBdr>
          <w:divsChild>
            <w:div w:id="20501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32312415">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3998">
      <w:bodyDiv w:val="1"/>
      <w:marLeft w:val="0"/>
      <w:marRight w:val="0"/>
      <w:marTop w:val="0"/>
      <w:marBottom w:val="0"/>
      <w:divBdr>
        <w:top w:val="none" w:sz="0" w:space="0" w:color="auto"/>
        <w:left w:val="none" w:sz="0" w:space="0" w:color="auto"/>
        <w:bottom w:val="none" w:sz="0" w:space="0" w:color="auto"/>
        <w:right w:val="none" w:sz="0" w:space="0" w:color="auto"/>
      </w:divBdr>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82526112">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7080">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3280">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26571">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91331999">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12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3331">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8027">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581">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70148">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fsnforum.fao.org/public/V0_Draft_HLPE_17_data_collection_analysis.pdf" TargetMode="External"/><Relationship Id="rId18" Type="http://schemas.openxmlformats.org/officeDocument/2006/relationships/hyperlink" Target="https://assets.fsnforum.fao.org/public/V0_Draft_HLPE_17_data_collection_analysi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ao.org/publications/card/en/c/NA703ES" TargetMode="External"/><Relationship Id="rId17" Type="http://schemas.openxmlformats.org/officeDocument/2006/relationships/hyperlink" Target="https://www.fao.org/fileadmin/user_upload/hlpe/hlpe_documents/HLPE_-_proces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o.org/fsnforum/fr/consultations/HLPE_data_collection_analysis_tools_V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fao.org/fsnforum/es/consultations/HLPE_data_collection_analysis_tools_V0"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o.org/fsnforum/consultations/HLPE_data_collection_analysis_tools_V0"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es/fsnforum/consultations/HLPE_data_collection_analysis_tools_V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9" ma:contentTypeDescription="Creare un nuovo documento." ma:contentTypeScope="" ma:versionID="7f90363ce5b643af2007ef2bc459aa1b">
  <xsd:schema xmlns:xsd="http://www.w3.org/2001/XMLSchema" xmlns:xs="http://www.w3.org/2001/XMLSchema" xmlns:p="http://schemas.microsoft.com/office/2006/metadata/properties" xmlns:ns3="3c9ac98d-36e3-464e-9a3d-571690e2b8cf" targetNamespace="http://schemas.microsoft.com/office/2006/metadata/properties" ma:root="true" ma:fieldsID="4978dc9b44a071acd56cf5af06579fac" ns3:_="">
    <xsd:import namespace="3c9ac98d-36e3-464e-9a3d-571690e2b8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30BC9F-54AF-4122-AF87-5AB14D60F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7D7B48-A0B7-45A4-A50F-DAC5F8EF2DDE}">
  <ds:schemaRefs>
    <ds:schemaRef ds:uri="3c9ac98d-36e3-464e-9a3d-571690e2b8cf"/>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BF8A438-1A9C-4778-BF5E-2E18297F852D}">
  <ds:schemaRefs>
    <ds:schemaRef ds:uri="http://schemas.microsoft.com/sharepoint/v3/contenttype/forms"/>
  </ds:schemaRefs>
</ds:datastoreItem>
</file>

<file path=customXml/itemProps4.xml><?xml version="1.0" encoding="utf-8"?>
<ds:datastoreItem xmlns:ds="http://schemas.openxmlformats.org/officeDocument/2006/customXml" ds:itemID="{45864644-68F4-415F-9B60-84FCB913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1984</Words>
  <Characters>11314</Characters>
  <Application>Microsoft Office Word</Application>
  <DocSecurity>0</DocSecurity>
  <Lines>94</Lines>
  <Paragraphs>26</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13272</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Polak, Elise (ESA)</cp:lastModifiedBy>
  <cp:revision>6</cp:revision>
  <cp:lastPrinted>2019-10-04T08:35:00Z</cp:lastPrinted>
  <dcterms:created xsi:type="dcterms:W3CDTF">2021-12-28T16:11:00Z</dcterms:created>
  <dcterms:modified xsi:type="dcterms:W3CDTF">2021-12-30T08:38:00Z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